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3351" w14:textId="77777777" w:rsidR="00A45413" w:rsidRPr="00A45413" w:rsidRDefault="00A45413" w:rsidP="00A45413">
      <w:pPr>
        <w:shd w:val="clear" w:color="auto" w:fill="FFFFFF"/>
        <w:spacing w:after="360" w:line="420" w:lineRule="atLeast"/>
        <w:outlineLvl w:val="0"/>
        <w:rPr>
          <w:rFonts w:ascii="Times New Roman" w:eastAsia="Times New Roman" w:hAnsi="Times New Roman" w:cs="Times New Roman"/>
          <w:color w:val="004990"/>
          <w:kern w:val="36"/>
          <w:sz w:val="39"/>
          <w:szCs w:val="39"/>
        </w:rPr>
      </w:pPr>
      <w:r w:rsidRPr="00A45413">
        <w:rPr>
          <w:rFonts w:ascii="Times New Roman" w:eastAsia="Times New Roman" w:hAnsi="Times New Roman" w:cs="Times New Roman"/>
          <w:color w:val="004990"/>
          <w:kern w:val="36"/>
          <w:sz w:val="39"/>
          <w:szCs w:val="39"/>
        </w:rPr>
        <w:t>Updated Tips for Working with Your Environmental Professional</w:t>
      </w:r>
    </w:p>
    <w:p w14:paraId="55367E32" w14:textId="5E62DDA3" w:rsidR="00A45413" w:rsidRDefault="00A024A0" w:rsidP="00A45413">
      <w:pPr>
        <w:shd w:val="clear" w:color="auto" w:fill="FFFFFF"/>
        <w:spacing w:before="100" w:beforeAutospacing="1" w:after="100" w:afterAutospacing="1" w:line="300" w:lineRule="atLeast"/>
        <w:outlineLvl w:val="2"/>
        <w:rPr>
          <w:rFonts w:ascii="Arial" w:eastAsia="Times New Roman" w:hAnsi="Arial" w:cs="Arial"/>
          <w:b/>
          <w:bCs/>
          <w:color w:val="535353"/>
          <w:sz w:val="27"/>
          <w:szCs w:val="27"/>
        </w:rPr>
      </w:pPr>
      <w:r>
        <w:rPr>
          <w:rFonts w:ascii="Arial" w:eastAsia="Times New Roman" w:hAnsi="Arial" w:cs="Arial"/>
          <w:b/>
          <w:bCs/>
          <w:color w:val="535353"/>
          <w:sz w:val="27"/>
          <w:szCs w:val="27"/>
        </w:rPr>
        <w:t>June 28</w:t>
      </w:r>
      <w:r w:rsidR="007E23E5">
        <w:rPr>
          <w:rFonts w:ascii="Arial" w:eastAsia="Times New Roman" w:hAnsi="Arial" w:cs="Arial"/>
          <w:b/>
          <w:bCs/>
          <w:color w:val="535353"/>
          <w:sz w:val="27"/>
          <w:szCs w:val="27"/>
        </w:rPr>
        <w:t>, 2022</w:t>
      </w:r>
    </w:p>
    <w:p w14:paraId="269420DA" w14:textId="77777777" w:rsidR="00A45413" w:rsidRPr="00A45413" w:rsidRDefault="00A45413" w:rsidP="00A45413">
      <w:pPr>
        <w:spacing w:after="0" w:line="240" w:lineRule="auto"/>
        <w:rPr>
          <w:rFonts w:ascii="Times New Roman" w:eastAsia="Times New Roman" w:hAnsi="Times New Roman" w:cs="Times New Roman"/>
          <w:sz w:val="24"/>
          <w:szCs w:val="24"/>
        </w:rPr>
      </w:pPr>
    </w:p>
    <w:p w14:paraId="1BBD1920" w14:textId="7B83A960" w:rsidR="00A45413" w:rsidRDefault="00A45413" w:rsidP="00A45413">
      <w:pPr>
        <w:shd w:val="clear" w:color="auto" w:fill="FFFFFF"/>
        <w:spacing w:after="360" w:line="240" w:lineRule="auto"/>
        <w:rPr>
          <w:rFonts w:ascii="Arial" w:eastAsia="Times New Roman" w:hAnsi="Arial" w:cs="Arial"/>
          <w:color w:val="535353"/>
          <w:sz w:val="24"/>
          <w:szCs w:val="24"/>
        </w:rPr>
      </w:pPr>
      <w:r w:rsidRPr="00A45413">
        <w:rPr>
          <w:rFonts w:ascii="Arial" w:eastAsia="Times New Roman" w:hAnsi="Arial" w:cs="Arial"/>
          <w:color w:val="535353"/>
          <w:sz w:val="24"/>
          <w:szCs w:val="24"/>
        </w:rPr>
        <w:t>The following is an updated list of tips for working with your Environmental Professional (EP) in preparing the environmental assessment to be submitted with applications for AHFA-related projects. </w:t>
      </w:r>
    </w:p>
    <w:p w14:paraId="0505C648" w14:textId="564B03D6" w:rsidR="007E23E5" w:rsidRDefault="00335E44" w:rsidP="00A45413">
      <w:pPr>
        <w:shd w:val="clear" w:color="auto" w:fill="FFFFFF"/>
        <w:spacing w:after="360" w:line="240" w:lineRule="auto"/>
        <w:rPr>
          <w:rFonts w:ascii="Arial" w:eastAsia="Times New Roman" w:hAnsi="Arial" w:cs="Arial"/>
          <w:color w:val="535353"/>
          <w:sz w:val="24"/>
          <w:szCs w:val="24"/>
        </w:rPr>
      </w:pPr>
      <w:r>
        <w:rPr>
          <w:rFonts w:ascii="Arial" w:eastAsia="Times New Roman" w:hAnsi="Arial" w:cs="Arial"/>
          <w:i/>
          <w:iCs/>
          <w:color w:val="535353"/>
          <w:sz w:val="24"/>
          <w:szCs w:val="24"/>
        </w:rPr>
        <w:t>NEW:</w:t>
      </w:r>
    </w:p>
    <w:p w14:paraId="16DF00F0" w14:textId="4A230F1F" w:rsidR="00335E44" w:rsidRPr="00CC09BC" w:rsidRDefault="00CC09BC" w:rsidP="00A45413">
      <w:pPr>
        <w:shd w:val="clear" w:color="auto" w:fill="FFFFFF"/>
        <w:spacing w:after="360" w:line="240" w:lineRule="auto"/>
        <w:rPr>
          <w:rFonts w:ascii="Arial" w:eastAsia="Times New Roman" w:hAnsi="Arial" w:cs="Arial"/>
          <w:i/>
          <w:iCs/>
          <w:color w:val="535353"/>
          <w:sz w:val="24"/>
          <w:szCs w:val="24"/>
        </w:rPr>
      </w:pPr>
      <w:r>
        <w:rPr>
          <w:rFonts w:ascii="Arial" w:eastAsia="Times New Roman" w:hAnsi="Arial" w:cs="Arial"/>
          <w:i/>
          <w:iCs/>
          <w:color w:val="535353"/>
          <w:sz w:val="24"/>
          <w:szCs w:val="24"/>
        </w:rPr>
        <w:t>AHFA’s current Environmental Policy Requirements (Addendum B) state that all Phase I Environmental Site Assessments must comply with “the current version of the ASTM Standard Practice for Environmental Site Assessments: Phase I Environmental Site Assessment Process’</w:t>
      </w:r>
      <w:r w:rsidR="00514797">
        <w:rPr>
          <w:rFonts w:ascii="Arial" w:eastAsia="Times New Roman" w:hAnsi="Arial" w:cs="Arial"/>
          <w:i/>
          <w:iCs/>
          <w:color w:val="535353"/>
          <w:sz w:val="24"/>
          <w:szCs w:val="24"/>
        </w:rPr>
        <w:t xml:space="preserve"> as of the date the Phase I ESA is completed.”</w:t>
      </w:r>
      <w:r w:rsidR="005568EC">
        <w:rPr>
          <w:rFonts w:ascii="Arial" w:eastAsia="Times New Roman" w:hAnsi="Arial" w:cs="Arial"/>
          <w:i/>
          <w:iCs/>
          <w:color w:val="535353"/>
          <w:sz w:val="24"/>
          <w:szCs w:val="24"/>
        </w:rPr>
        <w:t xml:space="preserve"> AHFA is aware that ASTM replaced ASTM E1527-13 with ASTM E1527-21 on November 1, 2021</w:t>
      </w:r>
      <w:r w:rsidR="002B21C6">
        <w:rPr>
          <w:rFonts w:ascii="Arial" w:eastAsia="Times New Roman" w:hAnsi="Arial" w:cs="Arial"/>
          <w:i/>
          <w:iCs/>
          <w:color w:val="535353"/>
          <w:sz w:val="24"/>
          <w:szCs w:val="24"/>
        </w:rPr>
        <w:t>.  However, as of the date of this notice, neither the U.S. Environmental Protection Agency (“EPA</w:t>
      </w:r>
      <w:r w:rsidR="006B10C6">
        <w:rPr>
          <w:rFonts w:ascii="Arial" w:eastAsia="Times New Roman" w:hAnsi="Arial" w:cs="Arial"/>
          <w:i/>
          <w:iCs/>
          <w:color w:val="535353"/>
          <w:sz w:val="24"/>
          <w:szCs w:val="24"/>
        </w:rPr>
        <w:t>”) nor HUD have adopted the new ASTM standard.  Until such time as EPA or HUD adopt the new ASTM standard or AHFA withdraws this notice, AHFA will accept Phase I ESAs that comply with the ASTM E1527-13</w:t>
      </w:r>
      <w:r w:rsidR="00FA50F7">
        <w:rPr>
          <w:rFonts w:ascii="Arial" w:eastAsia="Times New Roman" w:hAnsi="Arial" w:cs="Arial"/>
          <w:i/>
          <w:iCs/>
          <w:color w:val="535353"/>
          <w:sz w:val="24"/>
          <w:szCs w:val="24"/>
        </w:rPr>
        <w:t xml:space="preserve"> standard and all other requirements of AHFA’s Environmental Policy Requirements. 1/6/22</w:t>
      </w:r>
    </w:p>
    <w:p w14:paraId="40799081" w14:textId="77777777" w:rsidR="00A45413" w:rsidRPr="00A45413" w:rsidRDefault="00A45413" w:rsidP="00A45413">
      <w:pPr>
        <w:shd w:val="clear" w:color="auto" w:fill="FFFFFF"/>
        <w:spacing w:after="360" w:line="240" w:lineRule="auto"/>
        <w:rPr>
          <w:rFonts w:ascii="Arial" w:eastAsia="Times New Roman" w:hAnsi="Arial" w:cs="Arial"/>
          <w:color w:val="535353"/>
          <w:sz w:val="24"/>
          <w:szCs w:val="24"/>
        </w:rPr>
      </w:pPr>
      <w:r w:rsidRPr="00A45413">
        <w:rPr>
          <w:rFonts w:ascii="Arial" w:eastAsia="Times New Roman" w:hAnsi="Arial" w:cs="Arial"/>
          <w:b/>
          <w:bCs/>
          <w:color w:val="535353"/>
          <w:sz w:val="24"/>
          <w:szCs w:val="24"/>
        </w:rPr>
        <w:t>Cost</w:t>
      </w:r>
      <w:r w:rsidRPr="00A45413">
        <w:rPr>
          <w:rFonts w:ascii="Arial" w:eastAsia="Times New Roman" w:hAnsi="Arial" w:cs="Arial"/>
          <w:color w:val="535353"/>
          <w:sz w:val="24"/>
          <w:szCs w:val="24"/>
        </w:rPr>
        <w:t>: Understand that environmental assessments for AHFA-funded projects require significantly more work than a standard Phase I Environmental Site Assessment (ESA) and are more costly than a standard Phase I ESA.</w:t>
      </w:r>
    </w:p>
    <w:p w14:paraId="12A98154" w14:textId="77777777" w:rsidR="00A45413" w:rsidRPr="00A45413" w:rsidRDefault="00A45413" w:rsidP="00A45413">
      <w:pPr>
        <w:shd w:val="clear" w:color="auto" w:fill="FFFFFF"/>
        <w:spacing w:after="360" w:line="240" w:lineRule="auto"/>
        <w:rPr>
          <w:rFonts w:ascii="Arial" w:eastAsia="Times New Roman" w:hAnsi="Arial" w:cs="Arial"/>
          <w:color w:val="535353"/>
          <w:sz w:val="24"/>
          <w:szCs w:val="24"/>
        </w:rPr>
      </w:pPr>
      <w:r w:rsidRPr="00A45413">
        <w:rPr>
          <w:rFonts w:ascii="Arial" w:eastAsia="Times New Roman" w:hAnsi="Arial" w:cs="Arial"/>
          <w:b/>
          <w:bCs/>
          <w:color w:val="535353"/>
          <w:sz w:val="24"/>
          <w:szCs w:val="24"/>
        </w:rPr>
        <w:t>Timing</w:t>
      </w:r>
      <w:r w:rsidRPr="00A45413">
        <w:rPr>
          <w:rFonts w:ascii="Arial" w:eastAsia="Times New Roman" w:hAnsi="Arial" w:cs="Arial"/>
          <w:color w:val="535353"/>
          <w:sz w:val="24"/>
          <w:szCs w:val="24"/>
        </w:rPr>
        <w:t>: Start discussions with your EP as early as possible (as soon as possible after a site is selected) to ensure they have sufficient time to prepare a complete environmental assessment before the application deadline. </w:t>
      </w:r>
    </w:p>
    <w:p w14:paraId="0BD32C8A" w14:textId="77777777" w:rsidR="00A45413" w:rsidRPr="00A45413" w:rsidRDefault="00A45413" w:rsidP="00A45413">
      <w:pPr>
        <w:shd w:val="clear" w:color="auto" w:fill="FFFFFF"/>
        <w:spacing w:after="360" w:line="240" w:lineRule="auto"/>
        <w:rPr>
          <w:rFonts w:ascii="Arial" w:eastAsia="Times New Roman" w:hAnsi="Arial" w:cs="Arial"/>
          <w:color w:val="535353"/>
          <w:sz w:val="24"/>
          <w:szCs w:val="24"/>
        </w:rPr>
      </w:pPr>
      <w:r w:rsidRPr="00A45413">
        <w:rPr>
          <w:rFonts w:ascii="Arial" w:eastAsia="Times New Roman" w:hAnsi="Arial" w:cs="Arial"/>
          <w:b/>
          <w:bCs/>
          <w:color w:val="535353"/>
          <w:sz w:val="24"/>
          <w:szCs w:val="24"/>
        </w:rPr>
        <w:t>Scope of Assessment</w:t>
      </w:r>
      <w:r w:rsidRPr="00A45413">
        <w:rPr>
          <w:rFonts w:ascii="Arial" w:eastAsia="Times New Roman" w:hAnsi="Arial" w:cs="Arial"/>
          <w:color w:val="535353"/>
          <w:sz w:val="24"/>
          <w:szCs w:val="24"/>
        </w:rPr>
        <w:t>: Carefully review the scope of work with the EP to ensure it fully complies with all of AHFA’s Environmental Policy Requirements.</w:t>
      </w:r>
    </w:p>
    <w:p w14:paraId="3F606660" w14:textId="77777777" w:rsidR="00A45413" w:rsidRPr="00A45413" w:rsidRDefault="00A45413" w:rsidP="00A45413">
      <w:pPr>
        <w:shd w:val="clear" w:color="auto" w:fill="FFFFFF"/>
        <w:spacing w:after="360" w:line="240" w:lineRule="auto"/>
        <w:rPr>
          <w:rFonts w:ascii="Arial" w:eastAsia="Times New Roman" w:hAnsi="Arial" w:cs="Arial"/>
          <w:color w:val="535353"/>
          <w:sz w:val="24"/>
          <w:szCs w:val="24"/>
        </w:rPr>
      </w:pPr>
      <w:r w:rsidRPr="00A45413">
        <w:rPr>
          <w:rFonts w:ascii="Arial" w:eastAsia="Times New Roman" w:hAnsi="Arial" w:cs="Arial"/>
          <w:b/>
          <w:bCs/>
          <w:color w:val="535353"/>
          <w:sz w:val="24"/>
          <w:szCs w:val="24"/>
        </w:rPr>
        <w:t>Site Boundaries</w:t>
      </w:r>
      <w:r w:rsidRPr="00A45413">
        <w:rPr>
          <w:rFonts w:ascii="Arial" w:eastAsia="Times New Roman" w:hAnsi="Arial" w:cs="Arial"/>
          <w:color w:val="535353"/>
          <w:sz w:val="24"/>
          <w:szCs w:val="24"/>
        </w:rPr>
        <w:t>: Provide accurate site boundaries to EP for the property seeking AHFA funding. </w:t>
      </w:r>
    </w:p>
    <w:p w14:paraId="70444C36" w14:textId="77777777" w:rsidR="00A45413" w:rsidRPr="00A45413" w:rsidRDefault="00A45413" w:rsidP="00A45413">
      <w:pPr>
        <w:shd w:val="clear" w:color="auto" w:fill="FFFFFF"/>
        <w:spacing w:after="360" w:line="240" w:lineRule="auto"/>
        <w:rPr>
          <w:rFonts w:ascii="Arial" w:eastAsia="Times New Roman" w:hAnsi="Arial" w:cs="Arial"/>
          <w:color w:val="535353"/>
          <w:sz w:val="24"/>
          <w:szCs w:val="24"/>
        </w:rPr>
      </w:pPr>
      <w:r w:rsidRPr="00A45413">
        <w:rPr>
          <w:rFonts w:ascii="Arial" w:eastAsia="Times New Roman" w:hAnsi="Arial" w:cs="Arial"/>
          <w:b/>
          <w:bCs/>
          <w:color w:val="535353"/>
          <w:sz w:val="24"/>
          <w:szCs w:val="24"/>
        </w:rPr>
        <w:t>Site History</w:t>
      </w:r>
      <w:r w:rsidRPr="00A45413">
        <w:rPr>
          <w:rFonts w:ascii="Arial" w:eastAsia="Times New Roman" w:hAnsi="Arial" w:cs="Arial"/>
          <w:color w:val="535353"/>
          <w:sz w:val="24"/>
          <w:szCs w:val="24"/>
        </w:rPr>
        <w:t>: Provide, as soon as possible to the EP, any relevant information regarding the Applicant’s knowledge of the site and its history.</w:t>
      </w:r>
    </w:p>
    <w:p w14:paraId="5A9ED7FF" w14:textId="77777777" w:rsidR="00D910D7" w:rsidRDefault="00D910D7" w:rsidP="00A45413">
      <w:pPr>
        <w:shd w:val="clear" w:color="auto" w:fill="FFFFFF"/>
        <w:spacing w:after="360" w:line="240" w:lineRule="auto"/>
        <w:rPr>
          <w:rFonts w:ascii="Arial" w:eastAsia="Times New Roman" w:hAnsi="Arial" w:cs="Arial"/>
          <w:b/>
          <w:bCs/>
          <w:color w:val="535353"/>
          <w:sz w:val="24"/>
          <w:szCs w:val="24"/>
        </w:rPr>
      </w:pPr>
    </w:p>
    <w:p w14:paraId="072C9D92" w14:textId="4CFB2A9E" w:rsidR="00A45413" w:rsidRPr="00A45413" w:rsidRDefault="00A45413" w:rsidP="00A45413">
      <w:pPr>
        <w:shd w:val="clear" w:color="auto" w:fill="FFFFFF"/>
        <w:spacing w:after="360" w:line="240" w:lineRule="auto"/>
        <w:rPr>
          <w:rFonts w:ascii="Arial" w:eastAsia="Times New Roman" w:hAnsi="Arial" w:cs="Arial"/>
          <w:color w:val="535353"/>
          <w:sz w:val="24"/>
          <w:szCs w:val="24"/>
        </w:rPr>
      </w:pPr>
      <w:r w:rsidRPr="00A45413">
        <w:rPr>
          <w:rFonts w:ascii="Arial" w:eastAsia="Times New Roman" w:hAnsi="Arial" w:cs="Arial"/>
          <w:b/>
          <w:bCs/>
          <w:color w:val="535353"/>
          <w:sz w:val="24"/>
          <w:szCs w:val="24"/>
        </w:rPr>
        <w:lastRenderedPageBreak/>
        <w:t>Regulatory Approvals</w:t>
      </w:r>
      <w:r w:rsidRPr="00A45413">
        <w:rPr>
          <w:rFonts w:ascii="Arial" w:eastAsia="Times New Roman" w:hAnsi="Arial" w:cs="Arial"/>
          <w:color w:val="535353"/>
          <w:sz w:val="24"/>
          <w:szCs w:val="24"/>
        </w:rPr>
        <w:t>: Be prepared to allow enough time for applicable regulatory approvals (e.g., a jurisdictional determination or voluntary clean-up plan) so that any required approval is obtained prior to the environmental assessment submitted to AHFA.</w:t>
      </w:r>
    </w:p>
    <w:p w14:paraId="55A59785" w14:textId="3B603E6D" w:rsidR="00A45413" w:rsidRPr="00A45413" w:rsidRDefault="00A45413" w:rsidP="00A45413">
      <w:pPr>
        <w:shd w:val="clear" w:color="auto" w:fill="FFFFFF"/>
        <w:spacing w:after="360" w:line="240" w:lineRule="auto"/>
        <w:rPr>
          <w:rFonts w:ascii="Arial" w:eastAsia="Times New Roman" w:hAnsi="Arial" w:cs="Arial"/>
          <w:color w:val="535353"/>
          <w:sz w:val="24"/>
          <w:szCs w:val="24"/>
        </w:rPr>
      </w:pPr>
      <w:r w:rsidRPr="00A45413">
        <w:rPr>
          <w:rFonts w:ascii="Arial" w:eastAsia="Times New Roman" w:hAnsi="Arial" w:cs="Arial"/>
          <w:b/>
          <w:bCs/>
          <w:color w:val="535353"/>
          <w:sz w:val="24"/>
          <w:szCs w:val="24"/>
        </w:rPr>
        <w:t>Response to AHFA Comments</w:t>
      </w:r>
      <w:r w:rsidRPr="00A45413">
        <w:rPr>
          <w:rFonts w:ascii="Arial" w:eastAsia="Times New Roman" w:hAnsi="Arial" w:cs="Arial"/>
          <w:color w:val="535353"/>
          <w:sz w:val="24"/>
          <w:szCs w:val="24"/>
        </w:rPr>
        <w:t xml:space="preserve">: Upon receipt of AHFA comments to the environmental assessment, immediately forward those comments to the EP in order to insure response within required </w:t>
      </w:r>
      <w:r w:rsidR="0097336E">
        <w:rPr>
          <w:rFonts w:ascii="Arial" w:eastAsia="Times New Roman" w:hAnsi="Arial" w:cs="Arial"/>
          <w:color w:val="535353"/>
          <w:sz w:val="24"/>
          <w:szCs w:val="24"/>
        </w:rPr>
        <w:t>10</w:t>
      </w:r>
      <w:r w:rsidR="00B315AB">
        <w:rPr>
          <w:rFonts w:ascii="Arial" w:eastAsia="Times New Roman" w:hAnsi="Arial" w:cs="Arial"/>
          <w:color w:val="535353"/>
          <w:sz w:val="24"/>
          <w:szCs w:val="24"/>
        </w:rPr>
        <w:t xml:space="preserve"> business </w:t>
      </w:r>
      <w:r w:rsidRPr="00A45413">
        <w:rPr>
          <w:rFonts w:ascii="Arial" w:eastAsia="Times New Roman" w:hAnsi="Arial" w:cs="Arial"/>
          <w:color w:val="535353"/>
          <w:sz w:val="24"/>
          <w:szCs w:val="24"/>
        </w:rPr>
        <w:t>day turnaround time.</w:t>
      </w:r>
    </w:p>
    <w:p w14:paraId="4CB2ACF8" w14:textId="77777777" w:rsidR="00A45413" w:rsidRPr="00A45413" w:rsidRDefault="00A45413" w:rsidP="00A45413">
      <w:pPr>
        <w:shd w:val="clear" w:color="auto" w:fill="FFFFFF"/>
        <w:spacing w:after="360" w:line="240" w:lineRule="auto"/>
        <w:rPr>
          <w:rFonts w:ascii="Arial" w:eastAsia="Times New Roman" w:hAnsi="Arial" w:cs="Arial"/>
          <w:color w:val="535353"/>
          <w:sz w:val="24"/>
          <w:szCs w:val="24"/>
        </w:rPr>
      </w:pPr>
      <w:r w:rsidRPr="00A45413">
        <w:rPr>
          <w:rFonts w:ascii="Arial" w:eastAsia="Times New Roman" w:hAnsi="Arial" w:cs="Arial"/>
          <w:b/>
          <w:bCs/>
          <w:color w:val="535353"/>
          <w:sz w:val="24"/>
          <w:szCs w:val="24"/>
        </w:rPr>
        <w:t>Unrestricted Residential Use</w:t>
      </w:r>
      <w:r w:rsidRPr="00A45413">
        <w:rPr>
          <w:rFonts w:ascii="Arial" w:eastAsia="Times New Roman" w:hAnsi="Arial" w:cs="Arial"/>
          <w:color w:val="535353"/>
          <w:sz w:val="24"/>
          <w:szCs w:val="24"/>
        </w:rPr>
        <w:t>: Recognize that AHFA requires sites to be meet ADEM’s standard for unrestricted residential use and that the environmental assessment must demonstrate that all environmental conditions associated with the project meet that standard. AHFA cannot accept institutional or engineering controls on proposed sites other than a restriction of groundwater for potable or irrigation purposes in instances where public water is supplied.</w:t>
      </w:r>
    </w:p>
    <w:p w14:paraId="7DA29642" w14:textId="77777777" w:rsidR="00A45413" w:rsidRPr="00A45413" w:rsidRDefault="00A45413" w:rsidP="00A45413">
      <w:pPr>
        <w:shd w:val="clear" w:color="auto" w:fill="FFFFFF"/>
        <w:spacing w:after="360" w:line="240" w:lineRule="auto"/>
        <w:rPr>
          <w:rFonts w:ascii="Arial" w:eastAsia="Times New Roman" w:hAnsi="Arial" w:cs="Arial"/>
          <w:color w:val="535353"/>
          <w:sz w:val="24"/>
          <w:szCs w:val="24"/>
        </w:rPr>
      </w:pPr>
      <w:r w:rsidRPr="00A45413">
        <w:rPr>
          <w:rFonts w:ascii="Arial" w:eastAsia="Times New Roman" w:hAnsi="Arial" w:cs="Arial"/>
          <w:b/>
          <w:bCs/>
          <w:color w:val="535353"/>
          <w:sz w:val="24"/>
          <w:szCs w:val="24"/>
        </w:rPr>
        <w:t>Environmental Sampling</w:t>
      </w:r>
      <w:r w:rsidRPr="00A45413">
        <w:rPr>
          <w:rFonts w:ascii="Arial" w:eastAsia="Times New Roman" w:hAnsi="Arial" w:cs="Arial"/>
          <w:color w:val="535353"/>
          <w:sz w:val="24"/>
          <w:szCs w:val="24"/>
        </w:rPr>
        <w:t>: Any Recognized Environmental Conditions identified by the EP will likely require the submission of a Phase II ESA at the time of application. The scope of the Phase II should be carefully reviewed to be certain that it is in compliance with all AHFA requirements, including applicable ASTM Standard and ADEM requirements.</w:t>
      </w:r>
    </w:p>
    <w:p w14:paraId="616B5EF5" w14:textId="77777777" w:rsidR="00A45413" w:rsidRPr="00A45413" w:rsidRDefault="00A45413" w:rsidP="00A45413">
      <w:pPr>
        <w:shd w:val="clear" w:color="auto" w:fill="FFFFFF"/>
        <w:spacing w:after="360" w:line="240" w:lineRule="auto"/>
        <w:rPr>
          <w:rFonts w:ascii="Arial" w:eastAsia="Times New Roman" w:hAnsi="Arial" w:cs="Arial"/>
          <w:color w:val="535353"/>
          <w:sz w:val="24"/>
          <w:szCs w:val="24"/>
        </w:rPr>
      </w:pPr>
      <w:r w:rsidRPr="00A45413">
        <w:rPr>
          <w:rFonts w:ascii="Arial" w:eastAsia="Times New Roman" w:hAnsi="Arial" w:cs="Arial"/>
          <w:b/>
          <w:bCs/>
          <w:color w:val="535353"/>
          <w:sz w:val="24"/>
          <w:szCs w:val="24"/>
        </w:rPr>
        <w:t>Mitigation</w:t>
      </w:r>
      <w:r w:rsidRPr="00A45413">
        <w:rPr>
          <w:rFonts w:ascii="Arial" w:eastAsia="Times New Roman" w:hAnsi="Arial" w:cs="Arial"/>
          <w:color w:val="535353"/>
          <w:sz w:val="24"/>
          <w:szCs w:val="24"/>
        </w:rPr>
        <w:t>: Any mitigation at a site required to meet AHFA Environmental Policy Requirements must be sufficiently described so as to demonstrate how the proposed mitigation plan is in compliance with AHFA requirements and include all costs associated with the proposed mitigation. Alternative options for mitigation may be provided; however, all options must meet AHFA Environmental Policy Requirements.</w:t>
      </w:r>
    </w:p>
    <w:p w14:paraId="6F26B5F1" w14:textId="77777777" w:rsidR="00A45413" w:rsidRPr="00A45413" w:rsidRDefault="00A45413" w:rsidP="00A45413">
      <w:pPr>
        <w:shd w:val="clear" w:color="auto" w:fill="FFFFFF"/>
        <w:spacing w:after="360" w:line="240" w:lineRule="auto"/>
        <w:rPr>
          <w:rFonts w:ascii="Arial" w:eastAsia="Times New Roman" w:hAnsi="Arial" w:cs="Arial"/>
          <w:color w:val="535353"/>
          <w:sz w:val="24"/>
          <w:szCs w:val="24"/>
        </w:rPr>
      </w:pPr>
      <w:r w:rsidRPr="00A45413">
        <w:rPr>
          <w:rFonts w:ascii="Arial" w:eastAsia="Times New Roman" w:hAnsi="Arial" w:cs="Arial"/>
          <w:i/>
          <w:iCs/>
          <w:color w:val="535353"/>
          <w:sz w:val="24"/>
          <w:szCs w:val="24"/>
        </w:rPr>
        <w:t>The tips are not meant to be exhaustive of all the items you should consider when working with your EP. Rather, the tips are meant to help applicants and their EPs avoid common mistakes. Although the tips are designed to be consistent with AHFA’s Environmental Policy Requirements and related policies and regulations, only the requirements set forth in AHFA’s current year allocation plans are controlling.</w:t>
      </w:r>
    </w:p>
    <w:p w14:paraId="3B1ECFB1" w14:textId="77777777" w:rsidR="00026358" w:rsidRDefault="00B315AB"/>
    <w:sectPr w:rsidR="0002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13"/>
    <w:rsid w:val="002B21C6"/>
    <w:rsid w:val="00335E44"/>
    <w:rsid w:val="00514797"/>
    <w:rsid w:val="005568EC"/>
    <w:rsid w:val="006B10C6"/>
    <w:rsid w:val="006B5C82"/>
    <w:rsid w:val="00717CCF"/>
    <w:rsid w:val="007E23E5"/>
    <w:rsid w:val="0097336E"/>
    <w:rsid w:val="00A024A0"/>
    <w:rsid w:val="00A45413"/>
    <w:rsid w:val="00B315AB"/>
    <w:rsid w:val="00B7789B"/>
    <w:rsid w:val="00CC09BC"/>
    <w:rsid w:val="00D910D7"/>
    <w:rsid w:val="00EB2324"/>
    <w:rsid w:val="00FA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3866"/>
  <w15:chartTrackingRefBased/>
  <w15:docId w15:val="{7C7BFADE-00B2-4278-8BD9-D3BB48CD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54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454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41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4541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54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413"/>
    <w:rPr>
      <w:b/>
      <w:bCs/>
    </w:rPr>
  </w:style>
  <w:style w:type="character" w:styleId="Emphasis">
    <w:name w:val="Emphasis"/>
    <w:basedOn w:val="DefaultParagraphFont"/>
    <w:uiPriority w:val="20"/>
    <w:qFormat/>
    <w:rsid w:val="00A454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1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2499348D0CA4097C88AA442A3FC21" ma:contentTypeVersion="8" ma:contentTypeDescription="Create a new document." ma:contentTypeScope="" ma:versionID="dd299531afe7df4b518786f6283f5fb4">
  <xsd:schema xmlns:xsd="http://www.w3.org/2001/XMLSchema" xmlns:xs="http://www.w3.org/2001/XMLSchema" xmlns:p="http://schemas.microsoft.com/office/2006/metadata/properties" xmlns:ns3="8dd4765f-e14a-4bff-ad42-cebcaec601ae" targetNamespace="http://schemas.microsoft.com/office/2006/metadata/properties" ma:root="true" ma:fieldsID="a5072518d76a2dc65a34c6d7c6d672fe" ns3:_="">
    <xsd:import namespace="8dd4765f-e14a-4bff-ad42-cebcaec601ae"/>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765f-e14a-4bff-ad42-cebcaec60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3B3C5-BD82-4482-AC39-2F25868204FE}">
  <ds:schemaRefs>
    <ds:schemaRef ds:uri="http://purl.org/dc/elements/1.1/"/>
    <ds:schemaRef ds:uri="http://schemas.microsoft.com/office/2006/documentManagement/types"/>
    <ds:schemaRef ds:uri="8dd4765f-e14a-4bff-ad42-cebcaec601a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A6ECD15-1739-4CA0-AD27-BDEE5E79D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765f-e14a-4bff-ad42-cebcaec60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3AC57-88DD-47FD-BAC7-316C08CEF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Houlditch, Dondra</dc:creator>
  <cp:keywords/>
  <dc:description/>
  <cp:lastModifiedBy>Shedd, Pam</cp:lastModifiedBy>
  <cp:revision>14</cp:revision>
  <dcterms:created xsi:type="dcterms:W3CDTF">2019-12-30T22:55:00Z</dcterms:created>
  <dcterms:modified xsi:type="dcterms:W3CDTF">2022-06-28T16:33:00Z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0x0101001952499348D0CA4097C88AA442A3FC21</vt:lpwstr>
  </property>
</Properties>
</file>