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90" w:type="dxa"/>
        <w:tblInd w:w="-545" w:type="dxa"/>
        <w:tblLayout w:type="fixed"/>
        <w:tblCellMar>
          <w:left w:w="115" w:type="dxa"/>
          <w:right w:w="115" w:type="dxa"/>
        </w:tblCellMar>
        <w:tblLook w:val="04A0" w:firstRow="1" w:lastRow="0" w:firstColumn="1" w:lastColumn="0" w:noHBand="0" w:noVBand="1"/>
      </w:tblPr>
      <w:tblGrid>
        <w:gridCol w:w="1710"/>
        <w:gridCol w:w="2160"/>
        <w:gridCol w:w="810"/>
        <w:gridCol w:w="2070"/>
        <w:gridCol w:w="4050"/>
        <w:gridCol w:w="4590"/>
      </w:tblGrid>
      <w:tr w:rsidR="00640738" w14:paraId="69E1ABF1" w14:textId="77777777" w:rsidTr="000C2F10">
        <w:trPr>
          <w:tblHeader/>
        </w:trPr>
        <w:tc>
          <w:tcPr>
            <w:tcW w:w="1710" w:type="dxa"/>
            <w:tcBorders>
              <w:bottom w:val="single" w:sz="4" w:space="0" w:color="auto"/>
            </w:tcBorders>
            <w:shd w:val="clear" w:color="auto" w:fill="BFBFBF" w:themeFill="background1" w:themeFillShade="BF"/>
          </w:tcPr>
          <w:p w14:paraId="69E1ABEB" w14:textId="77777777" w:rsidR="00060334" w:rsidRPr="00060334" w:rsidRDefault="00060334" w:rsidP="006C7D5B">
            <w:pPr>
              <w:jc w:val="both"/>
              <w:rPr>
                <w:rFonts w:eastAsiaTheme="minorHAnsi"/>
                <w:b/>
                <w:szCs w:val="22"/>
              </w:rPr>
            </w:pPr>
            <w:bookmarkStart w:id="0" w:name="_GoBack"/>
            <w:bookmarkEnd w:id="0"/>
            <w:r w:rsidRPr="00060334">
              <w:rPr>
                <w:rFonts w:eastAsiaTheme="minorHAnsi"/>
                <w:b/>
                <w:szCs w:val="22"/>
              </w:rPr>
              <w:t>Plan Section</w:t>
            </w:r>
          </w:p>
        </w:tc>
        <w:tc>
          <w:tcPr>
            <w:tcW w:w="2160" w:type="dxa"/>
            <w:tcBorders>
              <w:bottom w:val="single" w:sz="4" w:space="0" w:color="auto"/>
            </w:tcBorders>
            <w:shd w:val="clear" w:color="auto" w:fill="BFBFBF" w:themeFill="background1" w:themeFillShade="BF"/>
          </w:tcPr>
          <w:p w14:paraId="69E1ABEC" w14:textId="77777777" w:rsidR="00060334" w:rsidRPr="00060334" w:rsidRDefault="00060334" w:rsidP="006C7D5B">
            <w:pPr>
              <w:jc w:val="both"/>
              <w:rPr>
                <w:rFonts w:eastAsiaTheme="minorHAnsi"/>
                <w:b/>
                <w:szCs w:val="22"/>
              </w:rPr>
            </w:pPr>
            <w:r w:rsidRPr="00060334">
              <w:rPr>
                <w:rFonts w:eastAsiaTheme="minorHAnsi"/>
                <w:b/>
                <w:szCs w:val="22"/>
              </w:rPr>
              <w:t>Section Reference</w:t>
            </w:r>
          </w:p>
        </w:tc>
        <w:tc>
          <w:tcPr>
            <w:tcW w:w="810" w:type="dxa"/>
            <w:tcBorders>
              <w:bottom w:val="single" w:sz="4" w:space="0" w:color="auto"/>
            </w:tcBorders>
            <w:shd w:val="clear" w:color="auto" w:fill="BFBFBF" w:themeFill="background1" w:themeFillShade="BF"/>
          </w:tcPr>
          <w:p w14:paraId="69E1ABED" w14:textId="77777777" w:rsidR="00060334" w:rsidRPr="00060334" w:rsidRDefault="00060334" w:rsidP="006C7D5B">
            <w:pPr>
              <w:jc w:val="both"/>
              <w:rPr>
                <w:rFonts w:eastAsiaTheme="minorHAnsi"/>
                <w:b/>
                <w:szCs w:val="22"/>
              </w:rPr>
            </w:pPr>
            <w:r>
              <w:rPr>
                <w:rFonts w:eastAsiaTheme="minorHAnsi"/>
                <w:b/>
                <w:szCs w:val="22"/>
              </w:rPr>
              <w:t>Page #</w:t>
            </w:r>
          </w:p>
        </w:tc>
        <w:tc>
          <w:tcPr>
            <w:tcW w:w="2070" w:type="dxa"/>
            <w:tcBorders>
              <w:bottom w:val="single" w:sz="4" w:space="0" w:color="auto"/>
            </w:tcBorders>
            <w:shd w:val="clear" w:color="auto" w:fill="BFBFBF" w:themeFill="background1" w:themeFillShade="BF"/>
          </w:tcPr>
          <w:p w14:paraId="69E1ABEE" w14:textId="77777777" w:rsidR="00060334" w:rsidRPr="00060334" w:rsidRDefault="00B74680" w:rsidP="00B74680">
            <w:pPr>
              <w:jc w:val="both"/>
              <w:rPr>
                <w:rFonts w:eastAsiaTheme="minorHAnsi"/>
                <w:b/>
                <w:szCs w:val="22"/>
              </w:rPr>
            </w:pPr>
            <w:r>
              <w:rPr>
                <w:rFonts w:eastAsiaTheme="minorHAnsi"/>
                <w:b/>
                <w:szCs w:val="22"/>
              </w:rPr>
              <w:t xml:space="preserve">Commenter </w:t>
            </w:r>
            <w:r w:rsidR="00060334">
              <w:rPr>
                <w:rFonts w:eastAsiaTheme="minorHAnsi"/>
                <w:b/>
                <w:szCs w:val="22"/>
              </w:rPr>
              <w:t>Name/ Company</w:t>
            </w:r>
          </w:p>
        </w:tc>
        <w:tc>
          <w:tcPr>
            <w:tcW w:w="4050" w:type="dxa"/>
            <w:tcBorders>
              <w:bottom w:val="single" w:sz="4" w:space="0" w:color="auto"/>
            </w:tcBorders>
            <w:shd w:val="clear" w:color="auto" w:fill="BFBFBF" w:themeFill="background1" w:themeFillShade="BF"/>
          </w:tcPr>
          <w:p w14:paraId="69E1ABEF" w14:textId="77777777" w:rsidR="00060334" w:rsidRPr="00060334" w:rsidRDefault="00060334" w:rsidP="006C7D5B">
            <w:pPr>
              <w:jc w:val="both"/>
              <w:rPr>
                <w:rFonts w:eastAsiaTheme="minorHAnsi"/>
                <w:b/>
                <w:szCs w:val="22"/>
              </w:rPr>
            </w:pPr>
            <w:r w:rsidRPr="00060334">
              <w:rPr>
                <w:rFonts w:eastAsiaTheme="minorHAnsi"/>
                <w:b/>
                <w:szCs w:val="22"/>
              </w:rPr>
              <w:t>Comments Received</w:t>
            </w:r>
          </w:p>
        </w:tc>
        <w:tc>
          <w:tcPr>
            <w:tcW w:w="4590" w:type="dxa"/>
            <w:tcBorders>
              <w:bottom w:val="single" w:sz="4" w:space="0" w:color="auto"/>
            </w:tcBorders>
            <w:shd w:val="clear" w:color="auto" w:fill="BFBFBF" w:themeFill="background1" w:themeFillShade="BF"/>
          </w:tcPr>
          <w:p w14:paraId="69E1ABF0" w14:textId="77777777" w:rsidR="00060334" w:rsidRPr="00060334" w:rsidRDefault="00060334" w:rsidP="006C7D5B">
            <w:pPr>
              <w:jc w:val="both"/>
              <w:rPr>
                <w:rFonts w:eastAsiaTheme="minorHAnsi"/>
                <w:b/>
                <w:szCs w:val="22"/>
              </w:rPr>
            </w:pPr>
            <w:r>
              <w:rPr>
                <w:rFonts w:eastAsiaTheme="minorHAnsi"/>
                <w:b/>
                <w:szCs w:val="22"/>
              </w:rPr>
              <w:t>AHFA Response</w:t>
            </w:r>
          </w:p>
        </w:tc>
      </w:tr>
      <w:tr w:rsidR="00C821AB" w14:paraId="69E1ABF8" w14:textId="77777777" w:rsidTr="000C2F10">
        <w:tc>
          <w:tcPr>
            <w:tcW w:w="1710" w:type="dxa"/>
            <w:shd w:val="clear" w:color="auto" w:fill="FFFF00"/>
          </w:tcPr>
          <w:p w14:paraId="69E1ABF2" w14:textId="523331B2" w:rsidR="00C821AB" w:rsidRPr="004D02BC" w:rsidRDefault="00C821AB" w:rsidP="00C821AB">
            <w:pPr>
              <w:rPr>
                <w:rFonts w:eastAsiaTheme="minorHAnsi"/>
                <w:b/>
                <w:szCs w:val="22"/>
              </w:rPr>
            </w:pPr>
            <w:r>
              <w:rPr>
                <w:rFonts w:eastAsiaTheme="minorHAnsi"/>
                <w:b/>
                <w:szCs w:val="22"/>
              </w:rPr>
              <w:t>Draft 201</w:t>
            </w:r>
            <w:r w:rsidR="006B2C7F">
              <w:rPr>
                <w:rFonts w:eastAsiaTheme="minorHAnsi"/>
                <w:b/>
                <w:szCs w:val="22"/>
              </w:rPr>
              <w:t>9</w:t>
            </w:r>
            <w:r>
              <w:rPr>
                <w:rFonts w:eastAsiaTheme="minorHAnsi"/>
                <w:b/>
                <w:szCs w:val="22"/>
              </w:rPr>
              <w:t xml:space="preserve"> HTF</w:t>
            </w:r>
          </w:p>
        </w:tc>
        <w:tc>
          <w:tcPr>
            <w:tcW w:w="2160" w:type="dxa"/>
            <w:shd w:val="clear" w:color="auto" w:fill="FFFF00"/>
          </w:tcPr>
          <w:p w14:paraId="69E1ABF3" w14:textId="0639ACDF" w:rsidR="00C821AB" w:rsidRPr="00F96616" w:rsidRDefault="002E1CF7" w:rsidP="00C821AB">
            <w:pPr>
              <w:rPr>
                <w:rFonts w:eastAsiaTheme="minorHAnsi"/>
                <w:szCs w:val="22"/>
              </w:rPr>
            </w:pPr>
            <w:r>
              <w:rPr>
                <w:rFonts w:eastAsiaTheme="minorHAnsi"/>
                <w:szCs w:val="22"/>
              </w:rPr>
              <w:t>F</w:t>
            </w:r>
            <w:r w:rsidR="005D061E">
              <w:rPr>
                <w:rFonts w:eastAsiaTheme="minorHAnsi"/>
                <w:szCs w:val="22"/>
              </w:rPr>
              <w:t xml:space="preserve">. </w:t>
            </w:r>
            <w:r>
              <w:rPr>
                <w:rFonts w:eastAsiaTheme="minorHAnsi"/>
                <w:szCs w:val="22"/>
              </w:rPr>
              <w:t>Maximum Allocation of HTF</w:t>
            </w:r>
          </w:p>
        </w:tc>
        <w:tc>
          <w:tcPr>
            <w:tcW w:w="810" w:type="dxa"/>
            <w:shd w:val="clear" w:color="auto" w:fill="FFFF00"/>
          </w:tcPr>
          <w:p w14:paraId="69E1ABF4" w14:textId="1E92BF58" w:rsidR="00C821AB" w:rsidRDefault="002E1CF7" w:rsidP="00C821AB">
            <w:pPr>
              <w:rPr>
                <w:rFonts w:eastAsiaTheme="minorHAnsi"/>
                <w:szCs w:val="22"/>
              </w:rPr>
            </w:pPr>
            <w:r>
              <w:rPr>
                <w:rFonts w:eastAsiaTheme="minorHAnsi"/>
                <w:szCs w:val="22"/>
              </w:rPr>
              <w:t>4</w:t>
            </w:r>
          </w:p>
        </w:tc>
        <w:tc>
          <w:tcPr>
            <w:tcW w:w="2070" w:type="dxa"/>
            <w:shd w:val="clear" w:color="auto" w:fill="FFFF00"/>
          </w:tcPr>
          <w:p w14:paraId="69E1ABF5" w14:textId="4CF8D0A7" w:rsidR="00C821AB" w:rsidRDefault="002E1CF7" w:rsidP="00C821AB">
            <w:pPr>
              <w:rPr>
                <w:rFonts w:eastAsiaTheme="minorHAnsi"/>
                <w:szCs w:val="22"/>
              </w:rPr>
            </w:pPr>
            <w:r>
              <w:rPr>
                <w:rFonts w:eastAsiaTheme="minorHAnsi"/>
                <w:szCs w:val="22"/>
              </w:rPr>
              <w:t>Chris Retan/</w:t>
            </w:r>
            <w:proofErr w:type="spellStart"/>
            <w:r>
              <w:rPr>
                <w:rFonts w:eastAsiaTheme="minorHAnsi"/>
                <w:szCs w:val="22"/>
              </w:rPr>
              <w:t>Aletheia</w:t>
            </w:r>
            <w:proofErr w:type="spellEnd"/>
            <w:r>
              <w:rPr>
                <w:rFonts w:eastAsiaTheme="minorHAnsi"/>
                <w:szCs w:val="22"/>
              </w:rPr>
              <w:t xml:space="preserve"> House</w:t>
            </w:r>
          </w:p>
        </w:tc>
        <w:tc>
          <w:tcPr>
            <w:tcW w:w="4050" w:type="dxa"/>
            <w:shd w:val="clear" w:color="auto" w:fill="FFFF00"/>
          </w:tcPr>
          <w:p w14:paraId="57E5732F" w14:textId="77777777" w:rsidR="002E1CF7" w:rsidRDefault="002E1CF7" w:rsidP="00C821AB">
            <w:r>
              <w:t xml:space="preserve">The intent of the changes in Section F are positive.  There will be some projects that will not be feasible with a $1,350,000 allocation.  AHFA should set an early deadline for projects to submit applications that are under the cap amount so there is plenty of time it is resolicit proposals from developers that need additional funds to submit an application that is more than $1,350,000. </w:t>
            </w:r>
          </w:p>
          <w:p w14:paraId="26C93CFA" w14:textId="77777777" w:rsidR="002E1CF7" w:rsidRDefault="002E1CF7" w:rsidP="00C821AB">
            <w:r>
              <w:t>In addition, projects should be able to apply for up to $2,700,000 with the understanding that they will be receiving funding from two different years.</w:t>
            </w:r>
          </w:p>
          <w:p w14:paraId="69E1ABF6" w14:textId="2121BFD6" w:rsidR="002E1CF7" w:rsidRPr="00C821AB" w:rsidRDefault="002E1CF7" w:rsidP="00C821AB"/>
        </w:tc>
        <w:tc>
          <w:tcPr>
            <w:tcW w:w="4590" w:type="dxa"/>
            <w:shd w:val="clear" w:color="auto" w:fill="FFFF00"/>
          </w:tcPr>
          <w:p w14:paraId="55CC92EA" w14:textId="7179D60D" w:rsidR="002E66CE" w:rsidRDefault="002E66CE" w:rsidP="00CC39CC">
            <w:pPr>
              <w:rPr>
                <w:color w:val="0070C0"/>
              </w:rPr>
            </w:pPr>
            <w:r>
              <w:rPr>
                <w:color w:val="0070C0"/>
              </w:rPr>
              <w:t xml:space="preserve">Per the Plan, no project will be allocated more than $1,350,000 of HTF funds during any HTF program year; provided, however, that AHFA may allocate funds </w:t>
            </w:r>
            <w:proofErr w:type="gramStart"/>
            <w:r>
              <w:rPr>
                <w:color w:val="0070C0"/>
              </w:rPr>
              <w:t>in excess of</w:t>
            </w:r>
            <w:proofErr w:type="gramEnd"/>
            <w:r>
              <w:rPr>
                <w:color w:val="0070C0"/>
              </w:rPr>
              <w:t xml:space="preserve"> this amount to one or more Projects during any HTF program year to ensure commitment of AHFA’s unallocated HTF funds by applicable deadlines if all of the following conditions exist: </w:t>
            </w:r>
          </w:p>
          <w:p w14:paraId="13D09D63" w14:textId="77777777" w:rsidR="002E66CE" w:rsidRPr="002E66CE" w:rsidRDefault="002E66CE" w:rsidP="002E66CE">
            <w:pPr>
              <w:rPr>
                <w:color w:val="0070C0"/>
              </w:rPr>
            </w:pPr>
            <w:r w:rsidRPr="002E66CE">
              <w:rPr>
                <w:color w:val="0070C0"/>
              </w:rPr>
              <w:t xml:space="preserve">1) AHFA has unallocated HTF funds that are at risk of expiring if not allocated by applicable HUD deadlines; </w:t>
            </w:r>
          </w:p>
          <w:p w14:paraId="45328C12" w14:textId="77777777" w:rsidR="002E66CE" w:rsidRPr="002E66CE" w:rsidRDefault="002E66CE" w:rsidP="002E66CE">
            <w:pPr>
              <w:rPr>
                <w:color w:val="0070C0"/>
              </w:rPr>
            </w:pPr>
            <w:r w:rsidRPr="002E66CE">
              <w:rPr>
                <w:color w:val="0070C0"/>
              </w:rPr>
              <w:t xml:space="preserve"> </w:t>
            </w:r>
          </w:p>
          <w:p w14:paraId="3F3475B7" w14:textId="77777777" w:rsidR="002E66CE" w:rsidRPr="002E66CE" w:rsidRDefault="002E66CE" w:rsidP="002E66CE">
            <w:pPr>
              <w:rPr>
                <w:color w:val="0070C0"/>
              </w:rPr>
            </w:pPr>
            <w:r w:rsidRPr="002E66CE">
              <w:rPr>
                <w:color w:val="0070C0"/>
              </w:rPr>
              <w:t xml:space="preserve">2) The Projects need additional HTF funds to balance proposed sources and uses for the Project; and </w:t>
            </w:r>
          </w:p>
          <w:p w14:paraId="5A94CBE4" w14:textId="77777777" w:rsidR="002E66CE" w:rsidRPr="002E66CE" w:rsidRDefault="002E66CE" w:rsidP="002E66CE">
            <w:pPr>
              <w:rPr>
                <w:color w:val="0070C0"/>
              </w:rPr>
            </w:pPr>
            <w:r w:rsidRPr="002E66CE">
              <w:rPr>
                <w:color w:val="0070C0"/>
              </w:rPr>
              <w:t xml:space="preserve"> </w:t>
            </w:r>
          </w:p>
          <w:p w14:paraId="273118F5" w14:textId="195EBE93" w:rsidR="002E66CE" w:rsidRDefault="002E66CE" w:rsidP="002E66CE">
            <w:pPr>
              <w:rPr>
                <w:color w:val="0070C0"/>
              </w:rPr>
            </w:pPr>
            <w:r w:rsidRPr="002E66CE">
              <w:rPr>
                <w:color w:val="0070C0"/>
              </w:rPr>
              <w:t>3) There are not enough viable applications pending.</w:t>
            </w:r>
          </w:p>
          <w:p w14:paraId="6FADCCFB" w14:textId="77777777" w:rsidR="002E66CE" w:rsidRDefault="002E66CE" w:rsidP="00CC39CC">
            <w:pPr>
              <w:rPr>
                <w:color w:val="0070C0"/>
              </w:rPr>
            </w:pPr>
          </w:p>
          <w:p w14:paraId="69E1ABF7" w14:textId="242D0F39" w:rsidR="00856712" w:rsidRPr="00D828C8" w:rsidRDefault="00954525" w:rsidP="00CC39CC">
            <w:pPr>
              <w:rPr>
                <w:color w:val="0070C0"/>
              </w:rPr>
            </w:pPr>
            <w:r>
              <w:rPr>
                <w:color w:val="0070C0"/>
              </w:rPr>
              <w:t>No changes will be made.</w:t>
            </w:r>
          </w:p>
        </w:tc>
      </w:tr>
      <w:tr w:rsidR="00C821AB" w14:paraId="69E1ABFF" w14:textId="77777777" w:rsidTr="000C2F10">
        <w:tc>
          <w:tcPr>
            <w:tcW w:w="1710" w:type="dxa"/>
            <w:shd w:val="clear" w:color="auto" w:fill="D6D6D6" w:themeFill="text2" w:themeFillTint="33"/>
          </w:tcPr>
          <w:p w14:paraId="69E1ABF9" w14:textId="3E8FA191" w:rsidR="00C821AB" w:rsidRPr="004D02BC" w:rsidRDefault="00C821AB" w:rsidP="00C821AB">
            <w:pPr>
              <w:rPr>
                <w:rFonts w:eastAsiaTheme="minorHAnsi"/>
                <w:b/>
                <w:szCs w:val="22"/>
              </w:rPr>
            </w:pPr>
            <w:r>
              <w:rPr>
                <w:rFonts w:eastAsiaTheme="minorHAnsi"/>
                <w:b/>
                <w:szCs w:val="22"/>
              </w:rPr>
              <w:t>Draft 201</w:t>
            </w:r>
            <w:r w:rsidR="006B2C7F">
              <w:rPr>
                <w:rFonts w:eastAsiaTheme="minorHAnsi"/>
                <w:b/>
                <w:szCs w:val="22"/>
              </w:rPr>
              <w:t>9</w:t>
            </w:r>
            <w:r>
              <w:rPr>
                <w:rFonts w:eastAsiaTheme="minorHAnsi"/>
                <w:b/>
                <w:szCs w:val="22"/>
              </w:rPr>
              <w:t xml:space="preserve"> HTF</w:t>
            </w:r>
          </w:p>
        </w:tc>
        <w:tc>
          <w:tcPr>
            <w:tcW w:w="2160" w:type="dxa"/>
            <w:shd w:val="clear" w:color="auto" w:fill="D6D6D6" w:themeFill="text2" w:themeFillTint="33"/>
          </w:tcPr>
          <w:p w14:paraId="69E1ABFA" w14:textId="7A5A078D" w:rsidR="00C821AB" w:rsidRPr="005D061E" w:rsidRDefault="002E1CF7" w:rsidP="005D061E">
            <w:pPr>
              <w:rPr>
                <w:rFonts w:eastAsiaTheme="minorHAnsi"/>
              </w:rPr>
            </w:pPr>
            <w:r>
              <w:rPr>
                <w:rFonts w:eastAsiaTheme="minorHAnsi"/>
              </w:rPr>
              <w:t>G. Maximum Per-unit Development HTF Subsidy Limits</w:t>
            </w:r>
          </w:p>
        </w:tc>
        <w:tc>
          <w:tcPr>
            <w:tcW w:w="810" w:type="dxa"/>
            <w:shd w:val="clear" w:color="auto" w:fill="D6D6D6" w:themeFill="text2" w:themeFillTint="33"/>
          </w:tcPr>
          <w:p w14:paraId="69E1ABFB" w14:textId="46BCB4EF" w:rsidR="00C821AB" w:rsidRDefault="002E1CF7" w:rsidP="00C821AB">
            <w:pPr>
              <w:rPr>
                <w:rFonts w:eastAsiaTheme="minorHAnsi"/>
                <w:szCs w:val="22"/>
              </w:rPr>
            </w:pPr>
            <w:r>
              <w:rPr>
                <w:rFonts w:eastAsiaTheme="minorHAnsi"/>
                <w:szCs w:val="22"/>
              </w:rPr>
              <w:t>5</w:t>
            </w:r>
          </w:p>
        </w:tc>
        <w:tc>
          <w:tcPr>
            <w:tcW w:w="2070" w:type="dxa"/>
            <w:shd w:val="clear" w:color="auto" w:fill="D6D6D6" w:themeFill="text2" w:themeFillTint="33"/>
          </w:tcPr>
          <w:p w14:paraId="69E1ABFC" w14:textId="047E742A" w:rsidR="00C821AB" w:rsidRDefault="002E1CF7" w:rsidP="00C821AB">
            <w:pPr>
              <w:rPr>
                <w:rFonts w:eastAsiaTheme="minorHAnsi"/>
                <w:szCs w:val="22"/>
              </w:rPr>
            </w:pPr>
            <w:r>
              <w:rPr>
                <w:rFonts w:eastAsiaTheme="minorHAnsi"/>
                <w:szCs w:val="22"/>
              </w:rPr>
              <w:t>Chris Retan/</w:t>
            </w:r>
            <w:proofErr w:type="spellStart"/>
            <w:r>
              <w:rPr>
                <w:rFonts w:eastAsiaTheme="minorHAnsi"/>
                <w:szCs w:val="22"/>
              </w:rPr>
              <w:t>Aletheia</w:t>
            </w:r>
            <w:proofErr w:type="spellEnd"/>
            <w:r>
              <w:rPr>
                <w:rFonts w:eastAsiaTheme="minorHAnsi"/>
                <w:szCs w:val="22"/>
              </w:rPr>
              <w:t xml:space="preserve"> House</w:t>
            </w:r>
          </w:p>
        </w:tc>
        <w:tc>
          <w:tcPr>
            <w:tcW w:w="4050" w:type="dxa"/>
            <w:shd w:val="clear" w:color="auto" w:fill="D6D6D6" w:themeFill="text2" w:themeFillTint="33"/>
          </w:tcPr>
          <w:p w14:paraId="69E1ABFD" w14:textId="09AB3E3B" w:rsidR="00C821AB" w:rsidRDefault="002E1CF7" w:rsidP="00C821AB">
            <w:r>
              <w:t>The maximum per unit development subsidy should be eliminated.  It should be replaced with a requirement that cost be reasonable and developers may be required to justify costs that are included in a proposal.</w:t>
            </w:r>
            <w:r w:rsidR="002F4C52">
              <w:t xml:space="preserve"> </w:t>
            </w:r>
          </w:p>
        </w:tc>
        <w:tc>
          <w:tcPr>
            <w:tcW w:w="4590" w:type="dxa"/>
            <w:shd w:val="clear" w:color="auto" w:fill="D6D6D6" w:themeFill="text2" w:themeFillTint="33"/>
          </w:tcPr>
          <w:p w14:paraId="19BCD7CD" w14:textId="3051F3AF" w:rsidR="009E18E2" w:rsidRDefault="009E18E2" w:rsidP="00856712">
            <w:pPr>
              <w:rPr>
                <w:color w:val="0070C0"/>
              </w:rPr>
            </w:pPr>
            <w:r>
              <w:rPr>
                <w:color w:val="0070C0"/>
              </w:rPr>
              <w:t xml:space="preserve">This is a statutory requirement. </w:t>
            </w:r>
          </w:p>
          <w:p w14:paraId="73F0146C" w14:textId="77777777" w:rsidR="009E18E2" w:rsidRDefault="009E18E2" w:rsidP="00856712">
            <w:pPr>
              <w:rPr>
                <w:color w:val="0070C0"/>
              </w:rPr>
            </w:pPr>
          </w:p>
          <w:p w14:paraId="69E1ABFE" w14:textId="2895E69D" w:rsidR="00C821AB" w:rsidRPr="00C33CD3" w:rsidRDefault="00954525" w:rsidP="00856712">
            <w:pPr>
              <w:rPr>
                <w:color w:val="0070C0"/>
              </w:rPr>
            </w:pPr>
            <w:r>
              <w:rPr>
                <w:color w:val="0070C0"/>
              </w:rPr>
              <w:t>No changes will be made.</w:t>
            </w:r>
          </w:p>
        </w:tc>
      </w:tr>
      <w:tr w:rsidR="008E21D2" w14:paraId="69E1AC08" w14:textId="77777777" w:rsidTr="000C2F10">
        <w:trPr>
          <w:trHeight w:val="3797"/>
        </w:trPr>
        <w:tc>
          <w:tcPr>
            <w:tcW w:w="1710" w:type="dxa"/>
            <w:shd w:val="clear" w:color="auto" w:fill="FFFF00"/>
          </w:tcPr>
          <w:p w14:paraId="69E1AC00" w14:textId="5D372A0F" w:rsidR="008E21D2" w:rsidRPr="004D02BC" w:rsidRDefault="008E21D2" w:rsidP="00C821AB">
            <w:pPr>
              <w:rPr>
                <w:rFonts w:eastAsiaTheme="minorHAnsi"/>
                <w:b/>
                <w:szCs w:val="22"/>
              </w:rPr>
            </w:pPr>
            <w:r>
              <w:rPr>
                <w:rFonts w:eastAsiaTheme="minorHAnsi"/>
                <w:b/>
                <w:szCs w:val="22"/>
              </w:rPr>
              <w:lastRenderedPageBreak/>
              <w:t>Draft 201</w:t>
            </w:r>
            <w:r w:rsidR="006B2C7F">
              <w:rPr>
                <w:rFonts w:eastAsiaTheme="minorHAnsi"/>
                <w:b/>
                <w:szCs w:val="22"/>
              </w:rPr>
              <w:t>9</w:t>
            </w:r>
            <w:r>
              <w:rPr>
                <w:rFonts w:eastAsiaTheme="minorHAnsi"/>
                <w:b/>
                <w:szCs w:val="22"/>
              </w:rPr>
              <w:t xml:space="preserve"> HTF</w:t>
            </w:r>
          </w:p>
        </w:tc>
        <w:tc>
          <w:tcPr>
            <w:tcW w:w="2160" w:type="dxa"/>
            <w:shd w:val="clear" w:color="auto" w:fill="FFFF00"/>
          </w:tcPr>
          <w:p w14:paraId="69E1AC01" w14:textId="4FD6C3F4" w:rsidR="008E21D2" w:rsidRDefault="00D84088" w:rsidP="00C821AB">
            <w:pPr>
              <w:rPr>
                <w:rFonts w:eastAsiaTheme="minorHAnsi"/>
                <w:szCs w:val="22"/>
              </w:rPr>
            </w:pPr>
            <w:r>
              <w:rPr>
                <w:rFonts w:eastAsiaTheme="minorHAnsi"/>
                <w:szCs w:val="22"/>
              </w:rPr>
              <w:t>I.  1) e. Leveraging</w:t>
            </w:r>
          </w:p>
        </w:tc>
        <w:tc>
          <w:tcPr>
            <w:tcW w:w="810" w:type="dxa"/>
            <w:shd w:val="clear" w:color="auto" w:fill="FFFF00"/>
          </w:tcPr>
          <w:p w14:paraId="69E1AC02" w14:textId="7D28527C" w:rsidR="008E21D2" w:rsidRDefault="00D84088" w:rsidP="00C821AB">
            <w:pPr>
              <w:rPr>
                <w:rFonts w:eastAsiaTheme="minorHAnsi"/>
                <w:szCs w:val="22"/>
              </w:rPr>
            </w:pPr>
            <w:r>
              <w:rPr>
                <w:rFonts w:eastAsiaTheme="minorHAnsi"/>
                <w:szCs w:val="22"/>
              </w:rPr>
              <w:t>8</w:t>
            </w:r>
          </w:p>
        </w:tc>
        <w:tc>
          <w:tcPr>
            <w:tcW w:w="2070" w:type="dxa"/>
            <w:shd w:val="clear" w:color="auto" w:fill="FFFF00"/>
          </w:tcPr>
          <w:p w14:paraId="69E1AC03" w14:textId="5CFCAAB4" w:rsidR="008E21D2" w:rsidRDefault="00D84088" w:rsidP="00C821AB">
            <w:pPr>
              <w:rPr>
                <w:rFonts w:eastAsiaTheme="minorHAnsi"/>
                <w:szCs w:val="22"/>
              </w:rPr>
            </w:pPr>
            <w:r>
              <w:rPr>
                <w:rFonts w:eastAsiaTheme="minorHAnsi"/>
                <w:szCs w:val="22"/>
              </w:rPr>
              <w:t>Chris Retan/</w:t>
            </w:r>
            <w:proofErr w:type="spellStart"/>
            <w:r>
              <w:rPr>
                <w:rFonts w:eastAsiaTheme="minorHAnsi"/>
                <w:szCs w:val="22"/>
              </w:rPr>
              <w:t>Aletheia</w:t>
            </w:r>
            <w:proofErr w:type="spellEnd"/>
            <w:r>
              <w:rPr>
                <w:rFonts w:eastAsiaTheme="minorHAnsi"/>
                <w:szCs w:val="22"/>
              </w:rPr>
              <w:t xml:space="preserve"> House</w:t>
            </w:r>
          </w:p>
        </w:tc>
        <w:tc>
          <w:tcPr>
            <w:tcW w:w="4050" w:type="dxa"/>
            <w:shd w:val="clear" w:color="auto" w:fill="FFFF00"/>
          </w:tcPr>
          <w:p w14:paraId="69E1AC04" w14:textId="7C95DB81" w:rsidR="008E21D2" w:rsidRDefault="00D84088" w:rsidP="00C122A8">
            <w:r>
              <w:t>The leverage points should be changed to match the points in the HOME and tax credit application.  The current proposal which provides a maximum of 25 points for subsidies of $350,001 does not make any sense.  Any project with other funding equal to $350,001 does not need HTF Funds.  In addition, a project that has a cost of $350,001 per unit would likely not be considered to have reasonable costs.</w:t>
            </w:r>
          </w:p>
        </w:tc>
        <w:tc>
          <w:tcPr>
            <w:tcW w:w="4590" w:type="dxa"/>
            <w:shd w:val="clear" w:color="auto" w:fill="FFFF00"/>
          </w:tcPr>
          <w:p w14:paraId="15CED36C" w14:textId="326B5467" w:rsidR="003B4EAA" w:rsidRDefault="003B4EAA" w:rsidP="00D84088">
            <w:pPr>
              <w:rPr>
                <w:color w:val="0070C0"/>
              </w:rPr>
            </w:pPr>
            <w:r>
              <w:rPr>
                <w:color w:val="0070C0"/>
              </w:rPr>
              <w:t>Points in this category are flexible and for non-federal funding sources.  Sources may include, but are not limited to, value of donated land</w:t>
            </w:r>
            <w:r w:rsidR="000C06FA">
              <w:rPr>
                <w:color w:val="0070C0"/>
              </w:rPr>
              <w:t>, funds for the purchase of land, construction financing, permanent financing, furnishings and operating subsidies.</w:t>
            </w:r>
          </w:p>
          <w:p w14:paraId="5A91CDEE" w14:textId="77777777" w:rsidR="000C06FA" w:rsidRDefault="000C06FA" w:rsidP="00D84088">
            <w:pPr>
              <w:rPr>
                <w:color w:val="0070C0"/>
              </w:rPr>
            </w:pPr>
          </w:p>
          <w:p w14:paraId="6CF1CB87" w14:textId="09DA7529" w:rsidR="00581462" w:rsidRDefault="000C06FA" w:rsidP="00D84088">
            <w:pPr>
              <w:rPr>
                <w:color w:val="0070C0"/>
              </w:rPr>
            </w:pPr>
            <w:r>
              <w:rPr>
                <w:color w:val="0070C0"/>
              </w:rPr>
              <w:t>The p</w:t>
            </w:r>
            <w:r w:rsidR="00C852F2">
              <w:rPr>
                <w:color w:val="0070C0"/>
              </w:rPr>
              <w:t xml:space="preserve">oints in the category will </w:t>
            </w:r>
            <w:r w:rsidR="003B4EAA">
              <w:rPr>
                <w:color w:val="0070C0"/>
              </w:rPr>
              <w:t>be changed as follows:</w:t>
            </w:r>
          </w:p>
          <w:p w14:paraId="1E854EA6" w14:textId="7B26F34B" w:rsidR="003B4EAA" w:rsidRDefault="003B4EAA" w:rsidP="00D84088">
            <w:pPr>
              <w:rPr>
                <w:color w:val="0070C0"/>
              </w:rPr>
            </w:pPr>
          </w:p>
          <w:p w14:paraId="20507EE8" w14:textId="1C7D0513" w:rsidR="003B4EAA" w:rsidRPr="00360E95" w:rsidRDefault="003B4EAA" w:rsidP="00360E95">
            <w:pPr>
              <w:rPr>
                <w:color w:val="00B0F0"/>
              </w:rPr>
            </w:pPr>
            <w:r w:rsidRPr="00360E95">
              <w:rPr>
                <w:color w:val="00B0F0"/>
              </w:rPr>
              <w:t>25 points - $75,001 + per unit</w:t>
            </w:r>
          </w:p>
          <w:p w14:paraId="56300D87" w14:textId="791F4DD9" w:rsidR="003B4EAA" w:rsidRPr="00360E95" w:rsidRDefault="003B4EAA" w:rsidP="00360E95">
            <w:pPr>
              <w:rPr>
                <w:color w:val="00B0F0"/>
              </w:rPr>
            </w:pPr>
            <w:r w:rsidRPr="00360E95">
              <w:rPr>
                <w:color w:val="00B0F0"/>
              </w:rPr>
              <w:t>15 points - $50,001 - $75,000</w:t>
            </w:r>
            <w:r w:rsidR="00FC5624" w:rsidRPr="00360E95">
              <w:rPr>
                <w:color w:val="00B0F0"/>
              </w:rPr>
              <w:t xml:space="preserve"> per unit</w:t>
            </w:r>
          </w:p>
          <w:p w14:paraId="49AB492C" w14:textId="7940327F" w:rsidR="003B4EAA" w:rsidRPr="00360E95" w:rsidRDefault="003B4EAA" w:rsidP="00360E95">
            <w:pPr>
              <w:rPr>
                <w:color w:val="00B0F0"/>
              </w:rPr>
            </w:pPr>
            <w:r w:rsidRPr="00360E95">
              <w:rPr>
                <w:color w:val="00B0F0"/>
              </w:rPr>
              <w:t>10 points - $25,000- $50,000</w:t>
            </w:r>
            <w:r w:rsidR="00FC5624" w:rsidRPr="00360E95">
              <w:rPr>
                <w:color w:val="00B0F0"/>
              </w:rPr>
              <w:t xml:space="preserve"> per unit</w:t>
            </w:r>
          </w:p>
          <w:p w14:paraId="69E1AC07" w14:textId="03386D91" w:rsidR="00954525" w:rsidRPr="00E73F1F" w:rsidRDefault="00954525" w:rsidP="00D84088">
            <w:pPr>
              <w:rPr>
                <w:color w:val="0070C0"/>
              </w:rPr>
            </w:pPr>
          </w:p>
        </w:tc>
      </w:tr>
      <w:tr w:rsidR="00783636" w:rsidRPr="00C33CD3" w14:paraId="71C18CC4" w14:textId="77777777" w:rsidTr="000C2F10">
        <w:tblPrEx>
          <w:tblCellMar>
            <w:left w:w="108" w:type="dxa"/>
            <w:right w:w="108" w:type="dxa"/>
          </w:tblCellMar>
        </w:tblPrEx>
        <w:tc>
          <w:tcPr>
            <w:tcW w:w="1710" w:type="dxa"/>
            <w:shd w:val="clear" w:color="auto" w:fill="BFBFBF" w:themeFill="background1" w:themeFillShade="BF"/>
          </w:tcPr>
          <w:p w14:paraId="4512BF57" w14:textId="7008DB9E" w:rsidR="00783636" w:rsidRPr="004D02BC" w:rsidRDefault="00783636" w:rsidP="00755ADA">
            <w:pPr>
              <w:rPr>
                <w:rFonts w:eastAsiaTheme="minorHAnsi"/>
                <w:b/>
                <w:szCs w:val="22"/>
              </w:rPr>
            </w:pPr>
            <w:r>
              <w:rPr>
                <w:rFonts w:eastAsiaTheme="minorHAnsi"/>
                <w:b/>
                <w:szCs w:val="22"/>
              </w:rPr>
              <w:t>Draft 201</w:t>
            </w:r>
            <w:r w:rsidR="006B2C7F">
              <w:rPr>
                <w:rFonts w:eastAsiaTheme="minorHAnsi"/>
                <w:b/>
                <w:szCs w:val="22"/>
              </w:rPr>
              <w:t>9</w:t>
            </w:r>
            <w:r>
              <w:rPr>
                <w:rFonts w:eastAsiaTheme="minorHAnsi"/>
                <w:b/>
                <w:szCs w:val="22"/>
              </w:rPr>
              <w:t xml:space="preserve"> HTF</w:t>
            </w:r>
          </w:p>
        </w:tc>
        <w:tc>
          <w:tcPr>
            <w:tcW w:w="2160" w:type="dxa"/>
            <w:shd w:val="clear" w:color="auto" w:fill="BFBFBF" w:themeFill="background1" w:themeFillShade="BF"/>
          </w:tcPr>
          <w:p w14:paraId="7B4354AD" w14:textId="55A93499" w:rsidR="00783636" w:rsidRPr="005D061E" w:rsidRDefault="00783636" w:rsidP="00755ADA">
            <w:pPr>
              <w:rPr>
                <w:rFonts w:eastAsiaTheme="minorHAnsi"/>
              </w:rPr>
            </w:pPr>
            <w:r>
              <w:rPr>
                <w:rFonts w:eastAsiaTheme="minorHAnsi"/>
              </w:rPr>
              <w:t>General Comment</w:t>
            </w:r>
          </w:p>
        </w:tc>
        <w:tc>
          <w:tcPr>
            <w:tcW w:w="810" w:type="dxa"/>
            <w:shd w:val="clear" w:color="auto" w:fill="BFBFBF" w:themeFill="background1" w:themeFillShade="BF"/>
          </w:tcPr>
          <w:p w14:paraId="61147C83" w14:textId="5753A7E6" w:rsidR="00783636" w:rsidRDefault="00783636" w:rsidP="00755ADA">
            <w:pPr>
              <w:rPr>
                <w:rFonts w:eastAsiaTheme="minorHAnsi"/>
                <w:szCs w:val="22"/>
              </w:rPr>
            </w:pPr>
          </w:p>
        </w:tc>
        <w:tc>
          <w:tcPr>
            <w:tcW w:w="2070" w:type="dxa"/>
            <w:shd w:val="clear" w:color="auto" w:fill="BFBFBF" w:themeFill="background1" w:themeFillShade="BF"/>
          </w:tcPr>
          <w:p w14:paraId="69F99D9B" w14:textId="77777777" w:rsidR="00783636" w:rsidRDefault="00783636" w:rsidP="00755ADA">
            <w:pPr>
              <w:rPr>
                <w:rFonts w:eastAsiaTheme="minorHAnsi"/>
                <w:szCs w:val="22"/>
              </w:rPr>
            </w:pPr>
            <w:r>
              <w:rPr>
                <w:rFonts w:eastAsiaTheme="minorHAnsi"/>
                <w:szCs w:val="22"/>
              </w:rPr>
              <w:t>Chris Retan/</w:t>
            </w:r>
            <w:proofErr w:type="spellStart"/>
            <w:r>
              <w:rPr>
                <w:rFonts w:eastAsiaTheme="minorHAnsi"/>
                <w:szCs w:val="22"/>
              </w:rPr>
              <w:t>Aletheia</w:t>
            </w:r>
            <w:proofErr w:type="spellEnd"/>
            <w:r>
              <w:rPr>
                <w:rFonts w:eastAsiaTheme="minorHAnsi"/>
                <w:szCs w:val="22"/>
              </w:rPr>
              <w:t xml:space="preserve"> House</w:t>
            </w:r>
          </w:p>
        </w:tc>
        <w:tc>
          <w:tcPr>
            <w:tcW w:w="4050" w:type="dxa"/>
            <w:shd w:val="clear" w:color="auto" w:fill="BFBFBF" w:themeFill="background1" w:themeFillShade="BF"/>
          </w:tcPr>
          <w:p w14:paraId="2820325B" w14:textId="1C2AC54A" w:rsidR="00783636" w:rsidRDefault="00783636" w:rsidP="00755ADA">
            <w:r>
              <w:t>Due to the restriction on the rents and the 30-year affordability period, these projects will have much more risks than a tax credit project.  In addition, the developer will not be able to apply for additional funds to make capital improvement after 15 years like a tax credit project can.  AHFA should encourage developers to add to their operating deficit reserve and replacement reserve by underwriting the projects so they do not need any debt.  They should be underwritten so there is no debt but 75% of the annual free cash flow should be required to go to one of the two reserves.  This will increase the likelihood funds will be available to make repairs or fill operating gaps, especially in years 11-30.</w:t>
            </w:r>
          </w:p>
        </w:tc>
        <w:tc>
          <w:tcPr>
            <w:tcW w:w="4590" w:type="dxa"/>
            <w:shd w:val="clear" w:color="auto" w:fill="BFBFBF" w:themeFill="background1" w:themeFillShade="BF"/>
          </w:tcPr>
          <w:p w14:paraId="393EFA05" w14:textId="77777777" w:rsidR="00783636" w:rsidRDefault="006F3D44" w:rsidP="00755ADA">
            <w:pPr>
              <w:rPr>
                <w:color w:val="0070C0"/>
              </w:rPr>
            </w:pPr>
            <w:r>
              <w:rPr>
                <w:color w:val="0070C0"/>
              </w:rPr>
              <w:t xml:space="preserve">Thank you for your comment. </w:t>
            </w:r>
          </w:p>
          <w:p w14:paraId="67DFBF96" w14:textId="77777777" w:rsidR="006F3D44" w:rsidRDefault="006F3D44" w:rsidP="00755ADA">
            <w:pPr>
              <w:rPr>
                <w:color w:val="0070C0"/>
              </w:rPr>
            </w:pPr>
          </w:p>
          <w:p w14:paraId="763887E0" w14:textId="7F011453" w:rsidR="006F3D44" w:rsidRPr="00C33CD3" w:rsidRDefault="006F3D44" w:rsidP="00755ADA">
            <w:pPr>
              <w:rPr>
                <w:color w:val="0070C0"/>
              </w:rPr>
            </w:pPr>
            <w:r>
              <w:rPr>
                <w:color w:val="0070C0"/>
              </w:rPr>
              <w:t>No changes will be made.</w:t>
            </w:r>
          </w:p>
        </w:tc>
      </w:tr>
      <w:tr w:rsidR="00C226AF" w:rsidRPr="00C33CD3" w14:paraId="474B86CB" w14:textId="77777777" w:rsidTr="000C2F10">
        <w:tblPrEx>
          <w:tblCellMar>
            <w:left w:w="108" w:type="dxa"/>
            <w:right w:w="108" w:type="dxa"/>
          </w:tblCellMar>
        </w:tblPrEx>
        <w:tc>
          <w:tcPr>
            <w:tcW w:w="1710" w:type="dxa"/>
            <w:shd w:val="clear" w:color="auto" w:fill="FFFF00"/>
          </w:tcPr>
          <w:p w14:paraId="3D853D3E" w14:textId="4D8B7FEB" w:rsidR="00C226AF" w:rsidRPr="004D02BC" w:rsidRDefault="00C226AF" w:rsidP="00755ADA">
            <w:pPr>
              <w:rPr>
                <w:rFonts w:eastAsiaTheme="minorHAnsi"/>
                <w:b/>
                <w:szCs w:val="22"/>
              </w:rPr>
            </w:pPr>
            <w:r>
              <w:rPr>
                <w:rFonts w:eastAsiaTheme="minorHAnsi"/>
                <w:b/>
                <w:szCs w:val="22"/>
              </w:rPr>
              <w:t>Draft 201</w:t>
            </w:r>
            <w:r w:rsidR="006B2C7F">
              <w:rPr>
                <w:rFonts w:eastAsiaTheme="minorHAnsi"/>
                <w:b/>
                <w:szCs w:val="22"/>
              </w:rPr>
              <w:t>9</w:t>
            </w:r>
            <w:r>
              <w:rPr>
                <w:rFonts w:eastAsiaTheme="minorHAnsi"/>
                <w:b/>
                <w:szCs w:val="22"/>
              </w:rPr>
              <w:t xml:space="preserve"> HTF</w:t>
            </w:r>
          </w:p>
        </w:tc>
        <w:tc>
          <w:tcPr>
            <w:tcW w:w="2160" w:type="dxa"/>
            <w:shd w:val="clear" w:color="auto" w:fill="FFFF00"/>
          </w:tcPr>
          <w:p w14:paraId="3B8B38E8" w14:textId="47C51718" w:rsidR="00C226AF" w:rsidRPr="005D061E" w:rsidRDefault="00C226AF" w:rsidP="00755ADA">
            <w:pPr>
              <w:rPr>
                <w:rFonts w:eastAsiaTheme="minorHAnsi"/>
              </w:rPr>
            </w:pPr>
            <w:r>
              <w:rPr>
                <w:rFonts w:eastAsiaTheme="minorHAnsi"/>
              </w:rPr>
              <w:t>General Comment</w:t>
            </w:r>
          </w:p>
        </w:tc>
        <w:tc>
          <w:tcPr>
            <w:tcW w:w="810" w:type="dxa"/>
            <w:shd w:val="clear" w:color="auto" w:fill="FFFF00"/>
          </w:tcPr>
          <w:p w14:paraId="6712FDC3" w14:textId="6F13CEFB" w:rsidR="00C226AF" w:rsidRDefault="00C226AF" w:rsidP="00755ADA">
            <w:pPr>
              <w:rPr>
                <w:rFonts w:eastAsiaTheme="minorHAnsi"/>
                <w:szCs w:val="22"/>
              </w:rPr>
            </w:pPr>
          </w:p>
        </w:tc>
        <w:tc>
          <w:tcPr>
            <w:tcW w:w="2070" w:type="dxa"/>
            <w:shd w:val="clear" w:color="auto" w:fill="FFFF00"/>
          </w:tcPr>
          <w:p w14:paraId="5E9E07BE" w14:textId="77777777" w:rsidR="00C226AF" w:rsidRDefault="00C226AF" w:rsidP="00755ADA">
            <w:pPr>
              <w:rPr>
                <w:rFonts w:eastAsiaTheme="minorHAnsi"/>
                <w:szCs w:val="22"/>
              </w:rPr>
            </w:pPr>
            <w:r>
              <w:rPr>
                <w:rFonts w:eastAsiaTheme="minorHAnsi"/>
                <w:szCs w:val="22"/>
              </w:rPr>
              <w:t>Chris Retan/</w:t>
            </w:r>
            <w:proofErr w:type="spellStart"/>
            <w:r>
              <w:rPr>
                <w:rFonts w:eastAsiaTheme="minorHAnsi"/>
                <w:szCs w:val="22"/>
              </w:rPr>
              <w:t>Aletheia</w:t>
            </w:r>
            <w:proofErr w:type="spellEnd"/>
            <w:r>
              <w:rPr>
                <w:rFonts w:eastAsiaTheme="minorHAnsi"/>
                <w:szCs w:val="22"/>
              </w:rPr>
              <w:t xml:space="preserve"> House</w:t>
            </w:r>
          </w:p>
        </w:tc>
        <w:tc>
          <w:tcPr>
            <w:tcW w:w="4050" w:type="dxa"/>
            <w:shd w:val="clear" w:color="auto" w:fill="FFFF00"/>
          </w:tcPr>
          <w:p w14:paraId="6F9BDF0F" w14:textId="14EAE51A" w:rsidR="00C226AF" w:rsidRDefault="00C226AF" w:rsidP="00755ADA">
            <w:r>
              <w:t xml:space="preserve">AHFA staff have indicated the project will be flexible in making exceptions to the design standards.  This is important since </w:t>
            </w:r>
            <w:r>
              <w:lastRenderedPageBreak/>
              <w:t xml:space="preserve">most of these projects will be much smaller than tax credit projects and will need different designs that will be less costly.  It would be helpful to confirm this flexibility in the plan. </w:t>
            </w:r>
          </w:p>
        </w:tc>
        <w:tc>
          <w:tcPr>
            <w:tcW w:w="4590" w:type="dxa"/>
            <w:shd w:val="clear" w:color="auto" w:fill="FFFF00"/>
          </w:tcPr>
          <w:p w14:paraId="49C936E3" w14:textId="40924C92" w:rsidR="00C226AF" w:rsidRPr="00C33CD3" w:rsidRDefault="00954525" w:rsidP="00755ADA">
            <w:pPr>
              <w:rPr>
                <w:color w:val="0070C0"/>
              </w:rPr>
            </w:pPr>
            <w:r>
              <w:rPr>
                <w:color w:val="0070C0"/>
              </w:rPr>
              <w:lastRenderedPageBreak/>
              <w:t xml:space="preserve">The HTF </w:t>
            </w:r>
            <w:r w:rsidR="002E66CE">
              <w:rPr>
                <w:color w:val="0070C0"/>
              </w:rPr>
              <w:t>a</w:t>
            </w:r>
            <w:r>
              <w:rPr>
                <w:color w:val="0070C0"/>
              </w:rPr>
              <w:t xml:space="preserve">pplication process provides that applicants who cannot meet the required Design </w:t>
            </w:r>
            <w:r>
              <w:rPr>
                <w:color w:val="0070C0"/>
              </w:rPr>
              <w:lastRenderedPageBreak/>
              <w:t xml:space="preserve">Quality Standards submit a Deviation Request to AHFA at the time of application. </w:t>
            </w:r>
          </w:p>
        </w:tc>
      </w:tr>
      <w:tr w:rsidR="000C2F10" w:rsidRPr="00D828C8" w14:paraId="386757D5" w14:textId="77777777" w:rsidTr="007D6580">
        <w:tblPrEx>
          <w:tblCellMar>
            <w:left w:w="108" w:type="dxa"/>
            <w:right w:w="108" w:type="dxa"/>
          </w:tblCellMar>
        </w:tblPrEx>
        <w:tc>
          <w:tcPr>
            <w:tcW w:w="1710" w:type="dxa"/>
            <w:shd w:val="clear" w:color="auto" w:fill="BFBFBF" w:themeFill="background1" w:themeFillShade="BF"/>
          </w:tcPr>
          <w:p w14:paraId="11AA0A8D" w14:textId="1D76FE58" w:rsidR="000C2F10" w:rsidRPr="004D02BC" w:rsidRDefault="000C2F10" w:rsidP="00D33A92">
            <w:pPr>
              <w:rPr>
                <w:rFonts w:eastAsiaTheme="minorHAnsi"/>
                <w:b/>
                <w:szCs w:val="22"/>
              </w:rPr>
            </w:pPr>
            <w:r>
              <w:rPr>
                <w:rFonts w:eastAsiaTheme="minorHAnsi"/>
                <w:b/>
                <w:szCs w:val="22"/>
              </w:rPr>
              <w:lastRenderedPageBreak/>
              <w:t>Draft 2019 HTF</w:t>
            </w:r>
          </w:p>
        </w:tc>
        <w:tc>
          <w:tcPr>
            <w:tcW w:w="2160" w:type="dxa"/>
            <w:shd w:val="clear" w:color="auto" w:fill="BFBFBF" w:themeFill="background1" w:themeFillShade="BF"/>
          </w:tcPr>
          <w:p w14:paraId="43637B45" w14:textId="20AA147B" w:rsidR="000C2F10" w:rsidRPr="00F96616" w:rsidRDefault="000C2F10" w:rsidP="00D33A92">
            <w:pPr>
              <w:rPr>
                <w:rFonts w:eastAsiaTheme="minorHAnsi"/>
                <w:szCs w:val="22"/>
              </w:rPr>
            </w:pPr>
            <w:r>
              <w:rPr>
                <w:rFonts w:eastAsiaTheme="minorHAnsi"/>
                <w:szCs w:val="22"/>
              </w:rPr>
              <w:t>D. Eligible Activities</w:t>
            </w:r>
          </w:p>
        </w:tc>
        <w:tc>
          <w:tcPr>
            <w:tcW w:w="810" w:type="dxa"/>
            <w:shd w:val="clear" w:color="auto" w:fill="BFBFBF" w:themeFill="background1" w:themeFillShade="BF"/>
          </w:tcPr>
          <w:p w14:paraId="5A7CDACF" w14:textId="37E06E7A" w:rsidR="000C2F10" w:rsidRDefault="000C2F10" w:rsidP="00D33A92">
            <w:pPr>
              <w:rPr>
                <w:rFonts w:eastAsiaTheme="minorHAnsi"/>
                <w:szCs w:val="22"/>
              </w:rPr>
            </w:pPr>
            <w:r>
              <w:rPr>
                <w:rFonts w:eastAsiaTheme="minorHAnsi"/>
                <w:szCs w:val="22"/>
              </w:rPr>
              <w:t>3</w:t>
            </w:r>
          </w:p>
        </w:tc>
        <w:tc>
          <w:tcPr>
            <w:tcW w:w="2070" w:type="dxa"/>
            <w:shd w:val="clear" w:color="auto" w:fill="BFBFBF" w:themeFill="background1" w:themeFillShade="BF"/>
          </w:tcPr>
          <w:p w14:paraId="02E321C0" w14:textId="7B570426" w:rsidR="000C2F10" w:rsidRDefault="000C2F10" w:rsidP="00D33A92">
            <w:pPr>
              <w:rPr>
                <w:rFonts w:eastAsiaTheme="minorHAnsi"/>
                <w:szCs w:val="22"/>
              </w:rPr>
            </w:pPr>
            <w:r>
              <w:rPr>
                <w:rFonts w:eastAsiaTheme="minorHAnsi"/>
                <w:szCs w:val="22"/>
              </w:rPr>
              <w:t>Mary Ellen Judah/Neighborhood Concepts</w:t>
            </w:r>
          </w:p>
        </w:tc>
        <w:tc>
          <w:tcPr>
            <w:tcW w:w="4050" w:type="dxa"/>
            <w:shd w:val="clear" w:color="auto" w:fill="BFBFBF" w:themeFill="background1" w:themeFillShade="BF"/>
          </w:tcPr>
          <w:p w14:paraId="2CA45504" w14:textId="2796666D" w:rsidR="000C2F10" w:rsidRPr="00C821AB" w:rsidRDefault="000C2F10" w:rsidP="00D33A92">
            <w:r>
              <w:t xml:space="preserve">Please </w:t>
            </w:r>
            <w:r w:rsidR="00B05705">
              <w:t xml:space="preserve">consider </w:t>
            </w:r>
            <w:r>
              <w:t>amending the plan to allow HTF funds to be used for acquisition/rehabilitation of existing units.  For smaller projects such as we would propose for HTF, it is becoming increasingly difficult to identify properly zoned vacant lots, but there are numerous substandard rental homes available that could be acquired &amp; rehabilitated at less cost and at greater benefit to the surrounding neighborhood through the removal of blight and substandard housing, Zoning and NIMBYism challenges become less problematic.  Environmental clearance does often present a greater challenge, but it is not insurmoun</w:t>
            </w:r>
            <w:r w:rsidR="00B05705">
              <w:t>table and has been done successfully with other federal funds that carry the same environmental requirements.</w:t>
            </w:r>
          </w:p>
        </w:tc>
        <w:tc>
          <w:tcPr>
            <w:tcW w:w="4590" w:type="dxa"/>
            <w:shd w:val="clear" w:color="auto" w:fill="BFBFBF" w:themeFill="background1" w:themeFillShade="BF"/>
          </w:tcPr>
          <w:p w14:paraId="2185F76D" w14:textId="546473FA" w:rsidR="000C2F10" w:rsidRPr="00244FA2" w:rsidRDefault="003D3900" w:rsidP="00D33A92">
            <w:pPr>
              <w:rPr>
                <w:color w:val="0070C0"/>
              </w:rPr>
            </w:pPr>
            <w:r w:rsidRPr="00244FA2">
              <w:rPr>
                <w:color w:val="0070C0"/>
              </w:rPr>
              <w:t xml:space="preserve">HTF </w:t>
            </w:r>
            <w:r w:rsidR="00EC4C4A" w:rsidRPr="00244FA2">
              <w:rPr>
                <w:color w:val="0070C0"/>
              </w:rPr>
              <w:t>statutory regulations require that a project remain affordable and in compliance for 30 years.  Due to limited funding</w:t>
            </w:r>
            <w:r w:rsidR="00244FA2" w:rsidRPr="00244FA2">
              <w:rPr>
                <w:color w:val="0070C0"/>
              </w:rPr>
              <w:t xml:space="preserve">, </w:t>
            </w:r>
            <w:r w:rsidR="00302CC8" w:rsidRPr="00244FA2">
              <w:rPr>
                <w:color w:val="0070C0"/>
              </w:rPr>
              <w:t>HUD</w:t>
            </w:r>
            <w:r w:rsidR="00EC4C4A" w:rsidRPr="00244FA2">
              <w:rPr>
                <w:color w:val="0070C0"/>
              </w:rPr>
              <w:t xml:space="preserve"> rehabilitation </w:t>
            </w:r>
            <w:r w:rsidR="00302CC8" w:rsidRPr="00244FA2">
              <w:rPr>
                <w:color w:val="0070C0"/>
              </w:rPr>
              <w:t>standards</w:t>
            </w:r>
            <w:r w:rsidR="00244FA2" w:rsidRPr="00244FA2">
              <w:rPr>
                <w:color w:val="0070C0"/>
              </w:rPr>
              <w:t xml:space="preserve"> and</w:t>
            </w:r>
            <w:r w:rsidR="00EC4C4A" w:rsidRPr="00244FA2">
              <w:rPr>
                <w:color w:val="0070C0"/>
              </w:rPr>
              <w:t xml:space="preserve"> </w:t>
            </w:r>
            <w:r w:rsidR="00302CC8" w:rsidRPr="00244FA2">
              <w:rPr>
                <w:color w:val="0070C0"/>
              </w:rPr>
              <w:t>maintenance costs</w:t>
            </w:r>
            <w:r w:rsidR="00EC4C4A" w:rsidRPr="00244FA2">
              <w:rPr>
                <w:color w:val="0070C0"/>
              </w:rPr>
              <w:t xml:space="preserve">, </w:t>
            </w:r>
            <w:r w:rsidR="00A60544" w:rsidRPr="00244FA2">
              <w:rPr>
                <w:color w:val="0070C0"/>
              </w:rPr>
              <w:t>AHFA will continue to administer the HTF program to provide funds for new construction of decent, safe and sanitary rental housing.</w:t>
            </w:r>
          </w:p>
          <w:p w14:paraId="4944BE80" w14:textId="77777777" w:rsidR="00A60544" w:rsidRPr="00244FA2" w:rsidRDefault="00A60544" w:rsidP="00D33A92">
            <w:pPr>
              <w:rPr>
                <w:color w:val="0070C0"/>
              </w:rPr>
            </w:pPr>
          </w:p>
          <w:p w14:paraId="375E5172" w14:textId="54280EB0" w:rsidR="00A60544" w:rsidRPr="00D828C8" w:rsidRDefault="00A60544" w:rsidP="00D33A92">
            <w:pPr>
              <w:rPr>
                <w:color w:val="0070C0"/>
              </w:rPr>
            </w:pPr>
            <w:r w:rsidRPr="00244FA2">
              <w:rPr>
                <w:color w:val="0070C0"/>
              </w:rPr>
              <w:t xml:space="preserve">No Changes will be made. </w:t>
            </w:r>
          </w:p>
        </w:tc>
      </w:tr>
      <w:tr w:rsidR="000C2F10" w:rsidRPr="00C33CD3" w14:paraId="2D7A1A50" w14:textId="77777777" w:rsidTr="007D6580">
        <w:tblPrEx>
          <w:tblCellMar>
            <w:left w:w="108" w:type="dxa"/>
            <w:right w:w="108" w:type="dxa"/>
          </w:tblCellMar>
        </w:tblPrEx>
        <w:tc>
          <w:tcPr>
            <w:tcW w:w="1710" w:type="dxa"/>
            <w:shd w:val="clear" w:color="auto" w:fill="FFFF00"/>
          </w:tcPr>
          <w:p w14:paraId="6FA162EA" w14:textId="7C9542BA" w:rsidR="000C2F10" w:rsidRPr="004D02BC" w:rsidRDefault="00B05705" w:rsidP="00D33A92">
            <w:pPr>
              <w:rPr>
                <w:rFonts w:eastAsiaTheme="minorHAnsi"/>
                <w:b/>
                <w:szCs w:val="22"/>
              </w:rPr>
            </w:pPr>
            <w:r>
              <w:rPr>
                <w:rFonts w:eastAsiaTheme="minorHAnsi"/>
                <w:b/>
                <w:szCs w:val="22"/>
              </w:rPr>
              <w:t>Draft 2019 HTF</w:t>
            </w:r>
          </w:p>
        </w:tc>
        <w:tc>
          <w:tcPr>
            <w:tcW w:w="2160" w:type="dxa"/>
            <w:shd w:val="clear" w:color="auto" w:fill="FFFF00"/>
          </w:tcPr>
          <w:p w14:paraId="1D5C915D" w14:textId="14B32672" w:rsidR="000C2F10" w:rsidRPr="005D061E" w:rsidRDefault="00B05705" w:rsidP="00D33A92">
            <w:pPr>
              <w:rPr>
                <w:rFonts w:eastAsiaTheme="minorHAnsi"/>
              </w:rPr>
            </w:pPr>
            <w:r>
              <w:rPr>
                <w:rFonts w:eastAsiaTheme="minorHAnsi"/>
              </w:rPr>
              <w:t>G. Maximum Per-Unit Development HTF Subsidy Limit</w:t>
            </w:r>
          </w:p>
        </w:tc>
        <w:tc>
          <w:tcPr>
            <w:tcW w:w="810" w:type="dxa"/>
            <w:shd w:val="clear" w:color="auto" w:fill="FFFF00"/>
          </w:tcPr>
          <w:p w14:paraId="0341550F" w14:textId="37D69C10" w:rsidR="000C2F10" w:rsidRDefault="00B05705" w:rsidP="00D33A92">
            <w:pPr>
              <w:rPr>
                <w:rFonts w:eastAsiaTheme="minorHAnsi"/>
                <w:szCs w:val="22"/>
              </w:rPr>
            </w:pPr>
            <w:r>
              <w:rPr>
                <w:rFonts w:eastAsiaTheme="minorHAnsi"/>
                <w:szCs w:val="22"/>
              </w:rPr>
              <w:t>5</w:t>
            </w:r>
          </w:p>
        </w:tc>
        <w:tc>
          <w:tcPr>
            <w:tcW w:w="2070" w:type="dxa"/>
            <w:shd w:val="clear" w:color="auto" w:fill="FFFF00"/>
          </w:tcPr>
          <w:p w14:paraId="7C68E3BB" w14:textId="64892C32" w:rsidR="000C2F10" w:rsidRDefault="00B05705" w:rsidP="00D33A92">
            <w:pPr>
              <w:rPr>
                <w:rFonts w:eastAsiaTheme="minorHAnsi"/>
                <w:szCs w:val="22"/>
              </w:rPr>
            </w:pPr>
            <w:r>
              <w:rPr>
                <w:rFonts w:eastAsiaTheme="minorHAnsi"/>
                <w:szCs w:val="22"/>
              </w:rPr>
              <w:t>Mary Ellen Judah/Neighborhood Concepts</w:t>
            </w:r>
          </w:p>
        </w:tc>
        <w:tc>
          <w:tcPr>
            <w:tcW w:w="4050" w:type="dxa"/>
            <w:shd w:val="clear" w:color="auto" w:fill="FFFF00"/>
          </w:tcPr>
          <w:p w14:paraId="5EF5817C" w14:textId="27DCF423" w:rsidR="000C2F10" w:rsidRDefault="00B05705" w:rsidP="00D33A92">
            <w:r>
              <w:t xml:space="preserve">Please consider an increase in per unit cost to account for the fact that smaller unit developments are typically more expensive to build than larger multifamily developments that benefit from economies of scale.  Recent surveying of Madison county homebuilders indicated hard construction costs </w:t>
            </w:r>
            <w:proofErr w:type="gramStart"/>
            <w:r>
              <w:t>in excess of</w:t>
            </w:r>
            <w:proofErr w:type="gramEnd"/>
            <w:r>
              <w:t xml:space="preserve"> $100 per square foot. Perhaps a sliding scale based upon the number of units might be considered.</w:t>
            </w:r>
          </w:p>
        </w:tc>
        <w:tc>
          <w:tcPr>
            <w:tcW w:w="4590" w:type="dxa"/>
            <w:shd w:val="clear" w:color="auto" w:fill="FFFF00"/>
          </w:tcPr>
          <w:p w14:paraId="46B25920" w14:textId="336624EE" w:rsidR="000C2F10" w:rsidRDefault="00A60544" w:rsidP="00D33A92">
            <w:pPr>
              <w:rPr>
                <w:color w:val="0070C0"/>
              </w:rPr>
            </w:pPr>
            <w:r>
              <w:rPr>
                <w:color w:val="0070C0"/>
              </w:rPr>
              <w:t xml:space="preserve">The maximum per-unit development HTF subsidy limits were increased by a total of 10% </w:t>
            </w:r>
            <w:r w:rsidR="00F50892">
              <w:rPr>
                <w:color w:val="0070C0"/>
              </w:rPr>
              <w:t>from previous limits, according to</w:t>
            </w:r>
            <w:r>
              <w:rPr>
                <w:color w:val="0070C0"/>
              </w:rPr>
              <w:t xml:space="preserve"> </w:t>
            </w:r>
            <w:r w:rsidR="00F50892">
              <w:rPr>
                <w:color w:val="0070C0"/>
              </w:rPr>
              <w:t>bedroom size.</w:t>
            </w:r>
          </w:p>
          <w:p w14:paraId="247790C2" w14:textId="77777777" w:rsidR="00F50892" w:rsidRDefault="00F50892" w:rsidP="00D33A92">
            <w:pPr>
              <w:rPr>
                <w:color w:val="0070C0"/>
              </w:rPr>
            </w:pPr>
          </w:p>
          <w:p w14:paraId="0B7548E4" w14:textId="467FE44C" w:rsidR="00F50892" w:rsidRPr="00C33CD3" w:rsidRDefault="00F50892" w:rsidP="00D33A92">
            <w:pPr>
              <w:rPr>
                <w:color w:val="0070C0"/>
              </w:rPr>
            </w:pPr>
            <w:r>
              <w:rPr>
                <w:color w:val="0070C0"/>
              </w:rPr>
              <w:t xml:space="preserve">No additional changes will be made. </w:t>
            </w:r>
          </w:p>
        </w:tc>
      </w:tr>
      <w:tr w:rsidR="000C2F10" w:rsidRPr="00E73F1F" w14:paraId="091C3781" w14:textId="77777777" w:rsidTr="007D6580">
        <w:tblPrEx>
          <w:tblCellMar>
            <w:left w:w="108" w:type="dxa"/>
            <w:right w:w="108" w:type="dxa"/>
          </w:tblCellMar>
        </w:tblPrEx>
        <w:trPr>
          <w:trHeight w:val="3797"/>
        </w:trPr>
        <w:tc>
          <w:tcPr>
            <w:tcW w:w="1710" w:type="dxa"/>
            <w:shd w:val="clear" w:color="auto" w:fill="BFBFBF" w:themeFill="background1" w:themeFillShade="BF"/>
          </w:tcPr>
          <w:p w14:paraId="40502D7A" w14:textId="0F136F8A" w:rsidR="000C2F10" w:rsidRPr="004D02BC" w:rsidRDefault="00B05705" w:rsidP="00D33A92">
            <w:pPr>
              <w:rPr>
                <w:rFonts w:eastAsiaTheme="minorHAnsi"/>
                <w:b/>
                <w:szCs w:val="22"/>
              </w:rPr>
            </w:pPr>
            <w:r>
              <w:rPr>
                <w:rFonts w:eastAsiaTheme="minorHAnsi"/>
                <w:b/>
                <w:szCs w:val="22"/>
              </w:rPr>
              <w:lastRenderedPageBreak/>
              <w:t>Draft 2019 HTF</w:t>
            </w:r>
          </w:p>
        </w:tc>
        <w:tc>
          <w:tcPr>
            <w:tcW w:w="2160" w:type="dxa"/>
            <w:shd w:val="clear" w:color="auto" w:fill="BFBFBF" w:themeFill="background1" w:themeFillShade="BF"/>
          </w:tcPr>
          <w:p w14:paraId="5EED86EC" w14:textId="40246646" w:rsidR="000C2F10" w:rsidRDefault="00B05705" w:rsidP="00D33A92">
            <w:pPr>
              <w:rPr>
                <w:rFonts w:eastAsiaTheme="minorHAnsi"/>
                <w:szCs w:val="22"/>
              </w:rPr>
            </w:pPr>
            <w:r>
              <w:rPr>
                <w:rFonts w:eastAsiaTheme="minorHAnsi"/>
                <w:szCs w:val="22"/>
              </w:rPr>
              <w:t>I. 1) c. Rental Assistance</w:t>
            </w:r>
          </w:p>
        </w:tc>
        <w:tc>
          <w:tcPr>
            <w:tcW w:w="810" w:type="dxa"/>
            <w:shd w:val="clear" w:color="auto" w:fill="BFBFBF" w:themeFill="background1" w:themeFillShade="BF"/>
          </w:tcPr>
          <w:p w14:paraId="595DF143" w14:textId="4F746172" w:rsidR="000C2F10" w:rsidRDefault="00B05705" w:rsidP="00D33A92">
            <w:pPr>
              <w:rPr>
                <w:rFonts w:eastAsiaTheme="minorHAnsi"/>
                <w:szCs w:val="22"/>
              </w:rPr>
            </w:pPr>
            <w:r>
              <w:rPr>
                <w:rFonts w:eastAsiaTheme="minorHAnsi"/>
                <w:szCs w:val="22"/>
              </w:rPr>
              <w:t>7</w:t>
            </w:r>
          </w:p>
        </w:tc>
        <w:tc>
          <w:tcPr>
            <w:tcW w:w="2070" w:type="dxa"/>
            <w:shd w:val="clear" w:color="auto" w:fill="BFBFBF" w:themeFill="background1" w:themeFillShade="BF"/>
          </w:tcPr>
          <w:p w14:paraId="03FD75E7" w14:textId="7D6FC01F" w:rsidR="000C2F10" w:rsidRDefault="00B05705" w:rsidP="00D33A92">
            <w:pPr>
              <w:rPr>
                <w:rFonts w:eastAsiaTheme="minorHAnsi"/>
                <w:szCs w:val="22"/>
              </w:rPr>
            </w:pPr>
            <w:r>
              <w:rPr>
                <w:rFonts w:eastAsiaTheme="minorHAnsi"/>
                <w:szCs w:val="22"/>
              </w:rPr>
              <w:t>Mary Ellen Judah/Neighborhood Concepts</w:t>
            </w:r>
          </w:p>
        </w:tc>
        <w:tc>
          <w:tcPr>
            <w:tcW w:w="4050" w:type="dxa"/>
            <w:shd w:val="clear" w:color="auto" w:fill="BFBFBF" w:themeFill="background1" w:themeFillShade="BF"/>
          </w:tcPr>
          <w:p w14:paraId="2DA0DB3D" w14:textId="6E9C3ED8" w:rsidR="000C2F10" w:rsidRDefault="00B05705" w:rsidP="00D33A92">
            <w:r>
              <w:t>We agree that projects that can attract rental assistance are desirable, providing much needed financial assistance to ELI populations and helping ensure the financial stability of the property.  However, rental subsidy resources are increasingly difficult to secure.  We would request a reduction in the amount of points allocated to this category and suggest adding a category that allocated po</w:t>
            </w:r>
            <w:r w:rsidR="00B422C9">
              <w:t>i</w:t>
            </w:r>
            <w:r>
              <w:t>nts to projects with a firm commitment to pro</w:t>
            </w:r>
            <w:r w:rsidR="00B422C9">
              <w:t>v</w:t>
            </w:r>
            <w:r>
              <w:t>ide appropriate</w:t>
            </w:r>
            <w:r w:rsidR="00B422C9">
              <w:t xml:space="preserve"> resident services which would also support resident and property stability. </w:t>
            </w:r>
          </w:p>
        </w:tc>
        <w:tc>
          <w:tcPr>
            <w:tcW w:w="4590" w:type="dxa"/>
            <w:shd w:val="clear" w:color="auto" w:fill="BFBFBF" w:themeFill="background1" w:themeFillShade="BF"/>
          </w:tcPr>
          <w:p w14:paraId="4E7A271B" w14:textId="03CB515A" w:rsidR="000C2F10" w:rsidRDefault="00606203" w:rsidP="00D33A92">
            <w:pPr>
              <w:rPr>
                <w:color w:val="0070C0"/>
              </w:rPr>
            </w:pPr>
            <w:r>
              <w:rPr>
                <w:color w:val="0070C0"/>
              </w:rPr>
              <w:t xml:space="preserve">AHFA </w:t>
            </w:r>
            <w:r w:rsidR="00F8179B">
              <w:rPr>
                <w:color w:val="0070C0"/>
              </w:rPr>
              <w:t>prepared</w:t>
            </w:r>
            <w:r>
              <w:rPr>
                <w:color w:val="0070C0"/>
              </w:rPr>
              <w:t xml:space="preserve"> the HTF Plan i</w:t>
            </w:r>
            <w:r w:rsidR="00F50892">
              <w:rPr>
                <w:color w:val="0070C0"/>
              </w:rPr>
              <w:t xml:space="preserve">n accordance with </w:t>
            </w:r>
            <w:r>
              <w:rPr>
                <w:color w:val="0070C0"/>
              </w:rPr>
              <w:t>HUD provisions</w:t>
            </w:r>
            <w:r w:rsidR="00F8179B">
              <w:rPr>
                <w:color w:val="0070C0"/>
              </w:rPr>
              <w:t>.  Accordingly,</w:t>
            </w:r>
            <w:r>
              <w:rPr>
                <w:color w:val="0070C0"/>
              </w:rPr>
              <w:t xml:space="preserve"> </w:t>
            </w:r>
            <w:r w:rsidR="00F8179B">
              <w:rPr>
                <w:color w:val="0070C0"/>
              </w:rPr>
              <w:t>the</w:t>
            </w:r>
            <w:r>
              <w:rPr>
                <w:color w:val="0070C0"/>
              </w:rPr>
              <w:t xml:space="preserve"> Plan </w:t>
            </w:r>
            <w:r w:rsidR="00F8179B">
              <w:rPr>
                <w:color w:val="0070C0"/>
              </w:rPr>
              <w:t>prioritizes funds</w:t>
            </w:r>
            <w:r>
              <w:rPr>
                <w:color w:val="0070C0"/>
              </w:rPr>
              <w:t xml:space="preserve"> to project</w:t>
            </w:r>
            <w:r w:rsidR="00F8179B">
              <w:rPr>
                <w:color w:val="0070C0"/>
              </w:rPr>
              <w:t>s</w:t>
            </w:r>
            <w:r>
              <w:rPr>
                <w:color w:val="0070C0"/>
              </w:rPr>
              <w:t xml:space="preserve"> </w:t>
            </w:r>
            <w:r w:rsidR="00F8179B">
              <w:rPr>
                <w:color w:val="0070C0"/>
              </w:rPr>
              <w:t>with additional</w:t>
            </w:r>
            <w:r>
              <w:rPr>
                <w:color w:val="0070C0"/>
              </w:rPr>
              <w:t xml:space="preserve"> Federal, State, or local project-based rental assistance </w:t>
            </w:r>
            <w:r w:rsidR="00F8179B">
              <w:rPr>
                <w:color w:val="0070C0"/>
              </w:rPr>
              <w:t xml:space="preserve">thereby further encouraging </w:t>
            </w:r>
            <w:r>
              <w:rPr>
                <w:color w:val="0070C0"/>
              </w:rPr>
              <w:t>rent</w:t>
            </w:r>
            <w:r w:rsidR="00F8179B">
              <w:rPr>
                <w:color w:val="0070C0"/>
              </w:rPr>
              <w:t>al</w:t>
            </w:r>
            <w:r>
              <w:rPr>
                <w:color w:val="0070C0"/>
              </w:rPr>
              <w:t xml:space="preserve"> </w:t>
            </w:r>
            <w:r w:rsidR="00F8179B">
              <w:rPr>
                <w:color w:val="0070C0"/>
              </w:rPr>
              <w:t xml:space="preserve">affordability for </w:t>
            </w:r>
            <w:r>
              <w:rPr>
                <w:color w:val="0070C0"/>
              </w:rPr>
              <w:t>extremely low-income families.</w:t>
            </w:r>
          </w:p>
          <w:p w14:paraId="59958F7B" w14:textId="77777777" w:rsidR="00606203" w:rsidRDefault="00606203" w:rsidP="00D33A92">
            <w:pPr>
              <w:rPr>
                <w:color w:val="0070C0"/>
              </w:rPr>
            </w:pPr>
          </w:p>
          <w:p w14:paraId="054B6AD9" w14:textId="09EAEE2D" w:rsidR="00606203" w:rsidRDefault="00606203" w:rsidP="00D33A92">
            <w:pPr>
              <w:rPr>
                <w:color w:val="0070C0"/>
              </w:rPr>
            </w:pPr>
            <w:r>
              <w:rPr>
                <w:color w:val="0070C0"/>
              </w:rPr>
              <w:t>Applicants must provide a written plan detailing</w:t>
            </w:r>
            <w:r w:rsidR="004C128A">
              <w:rPr>
                <w:color w:val="0070C0"/>
              </w:rPr>
              <w:t xml:space="preserve"> </w:t>
            </w:r>
            <w:r w:rsidR="002E66CE">
              <w:rPr>
                <w:color w:val="0070C0"/>
              </w:rPr>
              <w:t xml:space="preserve">their </w:t>
            </w:r>
            <w:r>
              <w:rPr>
                <w:color w:val="0070C0"/>
              </w:rPr>
              <w:t>efforts to coordinate and integrate the proposed-HTF-funding rental units with other support services programs and other mainstream resources targeted to ELI populations</w:t>
            </w:r>
            <w:r w:rsidR="004C128A">
              <w:rPr>
                <w:color w:val="0070C0"/>
              </w:rPr>
              <w:t>.</w:t>
            </w:r>
          </w:p>
          <w:p w14:paraId="34A99E76" w14:textId="77777777" w:rsidR="004C128A" w:rsidRDefault="004C128A" w:rsidP="00D33A92">
            <w:pPr>
              <w:rPr>
                <w:color w:val="0070C0"/>
              </w:rPr>
            </w:pPr>
          </w:p>
          <w:p w14:paraId="2B3E1E46" w14:textId="78D6F4EE" w:rsidR="004C128A" w:rsidRPr="00E73F1F" w:rsidRDefault="004C128A" w:rsidP="00D33A92">
            <w:pPr>
              <w:rPr>
                <w:color w:val="0070C0"/>
              </w:rPr>
            </w:pPr>
            <w:r>
              <w:rPr>
                <w:color w:val="0070C0"/>
              </w:rPr>
              <w:t xml:space="preserve">No changes will be made. </w:t>
            </w:r>
          </w:p>
        </w:tc>
      </w:tr>
      <w:tr w:rsidR="000C2F10" w:rsidRPr="00C33CD3" w14:paraId="6BF27BFC" w14:textId="77777777" w:rsidTr="007D6580">
        <w:tblPrEx>
          <w:tblCellMar>
            <w:left w:w="108" w:type="dxa"/>
            <w:right w:w="108" w:type="dxa"/>
          </w:tblCellMar>
        </w:tblPrEx>
        <w:tc>
          <w:tcPr>
            <w:tcW w:w="1710" w:type="dxa"/>
            <w:shd w:val="clear" w:color="auto" w:fill="FFFF00"/>
          </w:tcPr>
          <w:p w14:paraId="1A89FBB3" w14:textId="493904FD" w:rsidR="000C2F10" w:rsidRPr="004D02BC" w:rsidRDefault="00B422C9" w:rsidP="00D33A92">
            <w:pPr>
              <w:rPr>
                <w:rFonts w:eastAsiaTheme="minorHAnsi"/>
                <w:b/>
                <w:szCs w:val="22"/>
              </w:rPr>
            </w:pPr>
            <w:r>
              <w:rPr>
                <w:rFonts w:eastAsiaTheme="minorHAnsi"/>
                <w:b/>
                <w:szCs w:val="22"/>
              </w:rPr>
              <w:t>Draft 2019 HTF</w:t>
            </w:r>
          </w:p>
        </w:tc>
        <w:tc>
          <w:tcPr>
            <w:tcW w:w="2160" w:type="dxa"/>
            <w:shd w:val="clear" w:color="auto" w:fill="FFFF00"/>
          </w:tcPr>
          <w:p w14:paraId="3A89BF78" w14:textId="5A7A1E0E" w:rsidR="000C2F10" w:rsidRPr="005D061E" w:rsidRDefault="00B422C9" w:rsidP="00D33A92">
            <w:pPr>
              <w:rPr>
                <w:rFonts w:eastAsiaTheme="minorHAnsi"/>
              </w:rPr>
            </w:pPr>
            <w:r>
              <w:rPr>
                <w:rFonts w:eastAsiaTheme="minorHAnsi"/>
              </w:rPr>
              <w:t>I. 1) d. Duration of HTF Affordability Period</w:t>
            </w:r>
          </w:p>
        </w:tc>
        <w:tc>
          <w:tcPr>
            <w:tcW w:w="810" w:type="dxa"/>
            <w:shd w:val="clear" w:color="auto" w:fill="FFFF00"/>
          </w:tcPr>
          <w:p w14:paraId="51833656" w14:textId="19DFEE35" w:rsidR="000C2F10" w:rsidRDefault="00B422C9" w:rsidP="00D33A92">
            <w:pPr>
              <w:rPr>
                <w:rFonts w:eastAsiaTheme="minorHAnsi"/>
                <w:szCs w:val="22"/>
              </w:rPr>
            </w:pPr>
            <w:r>
              <w:rPr>
                <w:rFonts w:eastAsiaTheme="minorHAnsi"/>
                <w:szCs w:val="22"/>
              </w:rPr>
              <w:t>8</w:t>
            </w:r>
          </w:p>
        </w:tc>
        <w:tc>
          <w:tcPr>
            <w:tcW w:w="2070" w:type="dxa"/>
            <w:shd w:val="clear" w:color="auto" w:fill="FFFF00"/>
          </w:tcPr>
          <w:p w14:paraId="31C84F9E" w14:textId="62026BBA" w:rsidR="000C2F10" w:rsidRDefault="00B422C9" w:rsidP="00D33A92">
            <w:pPr>
              <w:rPr>
                <w:rFonts w:eastAsiaTheme="minorHAnsi"/>
                <w:szCs w:val="22"/>
              </w:rPr>
            </w:pPr>
            <w:r>
              <w:rPr>
                <w:rFonts w:eastAsiaTheme="minorHAnsi"/>
                <w:szCs w:val="22"/>
              </w:rPr>
              <w:t>Mary Ellen Judah/Neighborhood Concepts</w:t>
            </w:r>
          </w:p>
        </w:tc>
        <w:tc>
          <w:tcPr>
            <w:tcW w:w="4050" w:type="dxa"/>
            <w:shd w:val="clear" w:color="auto" w:fill="FFFF00"/>
          </w:tcPr>
          <w:p w14:paraId="6CA33A16" w14:textId="1013F1A1" w:rsidR="000C2F10" w:rsidRDefault="00B422C9" w:rsidP="00D33A92">
            <w:r>
              <w:t xml:space="preserve">We also support extending the ELI affordability </w:t>
            </w:r>
            <w:proofErr w:type="gramStart"/>
            <w:r>
              <w:t>period, but</w:t>
            </w:r>
            <w:proofErr w:type="gramEnd"/>
            <w:r>
              <w:t xml:space="preserve"> would suggest a deed restriction rather than demonstration of long term financial feasibility as projections that extend beyond +/- 15 years are rather unreliable. </w:t>
            </w:r>
          </w:p>
        </w:tc>
        <w:tc>
          <w:tcPr>
            <w:tcW w:w="4590" w:type="dxa"/>
            <w:shd w:val="clear" w:color="auto" w:fill="FFFF00"/>
          </w:tcPr>
          <w:p w14:paraId="1100E789" w14:textId="3843B0A7" w:rsidR="000C2F10" w:rsidRDefault="004C128A" w:rsidP="00D33A92">
            <w:pPr>
              <w:rPr>
                <w:color w:val="0070C0"/>
              </w:rPr>
            </w:pPr>
            <w:r>
              <w:rPr>
                <w:color w:val="0070C0"/>
              </w:rPr>
              <w:t xml:space="preserve">The HTF statute </w:t>
            </w:r>
            <w:r w:rsidR="00F8179B">
              <w:rPr>
                <w:color w:val="0070C0"/>
              </w:rPr>
              <w:t>specifies</w:t>
            </w:r>
            <w:r>
              <w:rPr>
                <w:color w:val="0070C0"/>
              </w:rPr>
              <w:t xml:space="preserve"> a mandatory 30</w:t>
            </w:r>
            <w:r w:rsidR="002E66CE">
              <w:rPr>
                <w:color w:val="0070C0"/>
              </w:rPr>
              <w:t>-</w:t>
            </w:r>
            <w:r>
              <w:rPr>
                <w:color w:val="0070C0"/>
              </w:rPr>
              <w:t xml:space="preserve">year affordability period.  </w:t>
            </w:r>
          </w:p>
          <w:p w14:paraId="41FD12A1" w14:textId="77777777" w:rsidR="004C128A" w:rsidRDefault="004C128A" w:rsidP="00D33A92">
            <w:pPr>
              <w:rPr>
                <w:color w:val="0070C0"/>
              </w:rPr>
            </w:pPr>
          </w:p>
          <w:p w14:paraId="4CF84817" w14:textId="5859C7FF" w:rsidR="004C128A" w:rsidRPr="00C33CD3" w:rsidRDefault="004C128A" w:rsidP="00D33A92">
            <w:pPr>
              <w:rPr>
                <w:color w:val="0070C0"/>
              </w:rPr>
            </w:pPr>
            <w:r>
              <w:rPr>
                <w:color w:val="0070C0"/>
              </w:rPr>
              <w:t xml:space="preserve">No changes will be made. </w:t>
            </w:r>
          </w:p>
        </w:tc>
      </w:tr>
      <w:tr w:rsidR="000C2F10" w:rsidRPr="00C33CD3" w14:paraId="30D9E966" w14:textId="77777777" w:rsidTr="007D6580">
        <w:tblPrEx>
          <w:tblCellMar>
            <w:left w:w="108" w:type="dxa"/>
            <w:right w:w="108" w:type="dxa"/>
          </w:tblCellMar>
        </w:tblPrEx>
        <w:tc>
          <w:tcPr>
            <w:tcW w:w="1710" w:type="dxa"/>
            <w:shd w:val="clear" w:color="auto" w:fill="BFBFBF" w:themeFill="background1" w:themeFillShade="BF"/>
          </w:tcPr>
          <w:p w14:paraId="508B6663" w14:textId="2B813102" w:rsidR="000C2F10" w:rsidRPr="004D02BC" w:rsidRDefault="00B422C9" w:rsidP="00D33A92">
            <w:pPr>
              <w:rPr>
                <w:rFonts w:eastAsiaTheme="minorHAnsi"/>
                <w:b/>
                <w:szCs w:val="22"/>
              </w:rPr>
            </w:pPr>
            <w:r>
              <w:rPr>
                <w:rFonts w:eastAsiaTheme="minorHAnsi"/>
                <w:b/>
                <w:szCs w:val="22"/>
              </w:rPr>
              <w:t>Draft 2019 HTF</w:t>
            </w:r>
          </w:p>
        </w:tc>
        <w:tc>
          <w:tcPr>
            <w:tcW w:w="2160" w:type="dxa"/>
            <w:shd w:val="clear" w:color="auto" w:fill="BFBFBF" w:themeFill="background1" w:themeFillShade="BF"/>
          </w:tcPr>
          <w:p w14:paraId="0EE3B6EA" w14:textId="06B726F2" w:rsidR="000C2F10" w:rsidRPr="005D061E" w:rsidRDefault="00B422C9" w:rsidP="00D33A92">
            <w:pPr>
              <w:rPr>
                <w:rFonts w:eastAsiaTheme="minorHAnsi"/>
              </w:rPr>
            </w:pPr>
            <w:r>
              <w:rPr>
                <w:rFonts w:eastAsiaTheme="minorHAnsi"/>
              </w:rPr>
              <w:t>I. 1) e. Leveraging</w:t>
            </w:r>
          </w:p>
        </w:tc>
        <w:tc>
          <w:tcPr>
            <w:tcW w:w="810" w:type="dxa"/>
            <w:shd w:val="clear" w:color="auto" w:fill="BFBFBF" w:themeFill="background1" w:themeFillShade="BF"/>
          </w:tcPr>
          <w:p w14:paraId="50ECE568" w14:textId="34C0DDFB" w:rsidR="000C2F10" w:rsidRDefault="00B422C9" w:rsidP="00D33A92">
            <w:pPr>
              <w:rPr>
                <w:rFonts w:eastAsiaTheme="minorHAnsi"/>
                <w:szCs w:val="22"/>
              </w:rPr>
            </w:pPr>
            <w:r>
              <w:rPr>
                <w:rFonts w:eastAsiaTheme="minorHAnsi"/>
                <w:szCs w:val="22"/>
              </w:rPr>
              <w:t>8</w:t>
            </w:r>
          </w:p>
        </w:tc>
        <w:tc>
          <w:tcPr>
            <w:tcW w:w="2070" w:type="dxa"/>
            <w:shd w:val="clear" w:color="auto" w:fill="BFBFBF" w:themeFill="background1" w:themeFillShade="BF"/>
          </w:tcPr>
          <w:p w14:paraId="2B299BAD" w14:textId="11EBA6F3" w:rsidR="000C2F10" w:rsidRDefault="00B422C9" w:rsidP="00D33A92">
            <w:pPr>
              <w:rPr>
                <w:rFonts w:eastAsiaTheme="minorHAnsi"/>
                <w:szCs w:val="22"/>
              </w:rPr>
            </w:pPr>
            <w:r>
              <w:rPr>
                <w:rFonts w:eastAsiaTheme="minorHAnsi"/>
                <w:szCs w:val="22"/>
              </w:rPr>
              <w:t>Mary Ellen Judah/Neighborhood Concepts</w:t>
            </w:r>
          </w:p>
        </w:tc>
        <w:tc>
          <w:tcPr>
            <w:tcW w:w="4050" w:type="dxa"/>
            <w:shd w:val="clear" w:color="auto" w:fill="BFBFBF" w:themeFill="background1" w:themeFillShade="BF"/>
          </w:tcPr>
          <w:p w14:paraId="76460DF7" w14:textId="459BF9FF" w:rsidR="000C2F10" w:rsidRDefault="00B422C9" w:rsidP="00D33A92">
            <w:r>
              <w:t>Please consider revising the per unit limits for points awarded for leveraging, as smaller projects will not be able to compete with larger projects.  As example, the development of a quadplex</w:t>
            </w:r>
            <w:r w:rsidR="007D6580">
              <w:t xml:space="preserve"> would need to have at least $400,000 in non-federal sources to receive any points, which is doable since construction financing is counted in determining points.  However, that same quadplex would need to have $1,400,000 in non-federal sources, which is well </w:t>
            </w:r>
            <w:proofErr w:type="gramStart"/>
            <w:r w:rsidR="007D6580">
              <w:t>in excess of</w:t>
            </w:r>
            <w:proofErr w:type="gramEnd"/>
            <w:r w:rsidR="007D6580">
              <w:t xml:space="preserve"> the expected total development costs, to maximize points.  There is concern that this point category </w:t>
            </w:r>
            <w:r w:rsidR="007D6580">
              <w:lastRenderedPageBreak/>
              <w:t>unintentionally favors larger developments.</w:t>
            </w:r>
          </w:p>
        </w:tc>
        <w:tc>
          <w:tcPr>
            <w:tcW w:w="4590" w:type="dxa"/>
            <w:shd w:val="clear" w:color="auto" w:fill="BFBFBF" w:themeFill="background1" w:themeFillShade="BF"/>
          </w:tcPr>
          <w:p w14:paraId="6D4945A6" w14:textId="399549E1" w:rsidR="00581462" w:rsidRDefault="00581462" w:rsidP="00581462">
            <w:pPr>
              <w:rPr>
                <w:color w:val="0070C0"/>
              </w:rPr>
            </w:pPr>
            <w:r>
              <w:rPr>
                <w:color w:val="0070C0"/>
              </w:rPr>
              <w:lastRenderedPageBreak/>
              <w:t xml:space="preserve">Points in this category are flexible </w:t>
            </w:r>
            <w:r w:rsidR="00F8179B">
              <w:rPr>
                <w:color w:val="0070C0"/>
              </w:rPr>
              <w:t>and prioritize</w:t>
            </w:r>
            <w:r>
              <w:rPr>
                <w:color w:val="0070C0"/>
              </w:rPr>
              <w:t xml:space="preserve"> non-federal funding sources needed to develop and operate the proposed housing.  Sources may include, but are not limited to, value of donated land, funds for purchase of land, construction financing, permanent financing, furnishings and operating subsidies. </w:t>
            </w:r>
          </w:p>
          <w:p w14:paraId="51F93BE3" w14:textId="6775C0F1" w:rsidR="002E66CE" w:rsidRDefault="002E66CE" w:rsidP="00D33A92">
            <w:pPr>
              <w:rPr>
                <w:color w:val="0070C0"/>
              </w:rPr>
            </w:pPr>
          </w:p>
          <w:p w14:paraId="2B77C315" w14:textId="5DC8E86A" w:rsidR="006F3D44" w:rsidRDefault="006F3D44" w:rsidP="00D33A92">
            <w:pPr>
              <w:rPr>
                <w:color w:val="0070C0"/>
              </w:rPr>
            </w:pPr>
            <w:r>
              <w:rPr>
                <w:color w:val="0070C0"/>
              </w:rPr>
              <w:t>No changes will be made.</w:t>
            </w:r>
          </w:p>
          <w:p w14:paraId="7892BFED" w14:textId="3F0F88A0" w:rsidR="000C2F10" w:rsidRPr="00C33CD3" w:rsidRDefault="00581462" w:rsidP="00D33A92">
            <w:pPr>
              <w:rPr>
                <w:color w:val="0070C0"/>
              </w:rPr>
            </w:pPr>
            <w:r>
              <w:rPr>
                <w:color w:val="0070C0"/>
              </w:rPr>
              <w:t xml:space="preserve">  </w:t>
            </w:r>
          </w:p>
        </w:tc>
      </w:tr>
    </w:tbl>
    <w:p w14:paraId="69E1AC66" w14:textId="77777777" w:rsidR="00B51AB7" w:rsidRPr="007A6076" w:rsidRDefault="00B51AB7" w:rsidP="00AB4F12">
      <w:pPr>
        <w:pStyle w:val="Default"/>
        <w:jc w:val="both"/>
        <w:rPr>
          <w:i/>
          <w:sz w:val="22"/>
          <w:szCs w:val="22"/>
        </w:rPr>
      </w:pPr>
    </w:p>
    <w:sectPr w:rsidR="00B51AB7" w:rsidRPr="007A6076" w:rsidSect="00A0790C">
      <w:headerReference w:type="default" r:id="rId8"/>
      <w:footerReference w:type="default" r:id="rId9"/>
      <w:headerReference w:type="first" r:id="rId10"/>
      <w:footerReference w:type="first" r:id="rId11"/>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F38EF" w14:textId="77777777" w:rsidR="00495A51" w:rsidRDefault="00495A51" w:rsidP="00ED193D">
      <w:r>
        <w:separator/>
      </w:r>
    </w:p>
  </w:endnote>
  <w:endnote w:type="continuationSeparator" w:id="0">
    <w:p w14:paraId="3799CC5C" w14:textId="77777777" w:rsidR="00495A51" w:rsidRDefault="00495A51" w:rsidP="00ED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238322"/>
      <w:docPartObj>
        <w:docPartGallery w:val="Page Numbers (Top of Page)"/>
        <w:docPartUnique/>
      </w:docPartObj>
    </w:sdtPr>
    <w:sdtEndPr/>
    <w:sdtContent>
      <w:p w14:paraId="69E1AC6E" w14:textId="3B7C3813" w:rsidR="002F4C52" w:rsidRDefault="002F4C52" w:rsidP="00032F1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B190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1905">
          <w:rPr>
            <w:b/>
            <w:bCs/>
            <w:noProof/>
          </w:rPr>
          <w:t>2</w:t>
        </w:r>
        <w:r>
          <w:rPr>
            <w:b/>
            <w:bCs/>
            <w:sz w:val="24"/>
            <w:szCs w:val="24"/>
          </w:rPr>
          <w:fldChar w:fldCharType="end"/>
        </w:r>
      </w:p>
    </w:sdtContent>
  </w:sdt>
  <w:p w14:paraId="69E1AC6F" w14:textId="77777777" w:rsidR="002F4C52" w:rsidRDefault="002F4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1AC73" w14:textId="77777777" w:rsidR="002F4C52" w:rsidRDefault="002F4C52" w:rsidP="007A6076">
    <w:pPr>
      <w:pStyle w:val="Footer"/>
      <w:tabs>
        <w:tab w:val="left" w:pos="4140"/>
      </w:tabs>
    </w:pPr>
    <w:r>
      <w:t xml:space="preserve">Updated 11/18/2014 </w:t>
    </w:r>
    <w:proofErr w:type="spellStart"/>
    <w:r>
      <w:t>dlh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D1117" w14:textId="77777777" w:rsidR="00495A51" w:rsidRDefault="00495A51" w:rsidP="00ED193D">
      <w:r>
        <w:separator/>
      </w:r>
    </w:p>
  </w:footnote>
  <w:footnote w:type="continuationSeparator" w:id="0">
    <w:p w14:paraId="69B879A8" w14:textId="77777777" w:rsidR="00495A51" w:rsidRDefault="00495A51" w:rsidP="00ED1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1AC6B" w14:textId="01FEBB82" w:rsidR="002F4C52" w:rsidRPr="007A6076" w:rsidRDefault="002F4C52">
    <w:pPr>
      <w:pStyle w:val="Header"/>
      <w:rPr>
        <w:b/>
        <w:sz w:val="24"/>
        <w:szCs w:val="24"/>
      </w:rPr>
    </w:pPr>
    <w:r w:rsidRPr="007A6076">
      <w:rPr>
        <w:b/>
        <w:sz w:val="24"/>
        <w:szCs w:val="24"/>
      </w:rPr>
      <w:t>201</w:t>
    </w:r>
    <w:r w:rsidR="00143C8D">
      <w:rPr>
        <w:b/>
        <w:sz w:val="24"/>
        <w:szCs w:val="24"/>
      </w:rPr>
      <w:t>9</w:t>
    </w:r>
    <w:r>
      <w:rPr>
        <w:b/>
        <w:sz w:val="24"/>
        <w:szCs w:val="24"/>
      </w:rPr>
      <w:t xml:space="preserve"> Draft National Housing Trust Fund Allocation Plan</w:t>
    </w:r>
  </w:p>
  <w:p w14:paraId="69E1AC6C" w14:textId="7FA5055B" w:rsidR="002F4C52" w:rsidRPr="007A6076" w:rsidRDefault="002F4C52">
    <w:pPr>
      <w:pStyle w:val="Header"/>
      <w:rPr>
        <w:b/>
        <w:sz w:val="24"/>
        <w:szCs w:val="24"/>
      </w:rPr>
    </w:pPr>
    <w:r>
      <w:rPr>
        <w:b/>
        <w:sz w:val="24"/>
        <w:szCs w:val="24"/>
      </w:rPr>
      <w:t xml:space="preserve">Summary of </w:t>
    </w:r>
    <w:r w:rsidRPr="007A6076">
      <w:rPr>
        <w:b/>
        <w:sz w:val="24"/>
        <w:szCs w:val="24"/>
      </w:rPr>
      <w:t xml:space="preserve">Public Comments </w:t>
    </w:r>
    <w:r>
      <w:rPr>
        <w:b/>
        <w:sz w:val="24"/>
        <w:szCs w:val="24"/>
      </w:rPr>
      <w:t xml:space="preserve">Received </w:t>
    </w:r>
    <w:r w:rsidRPr="007A6076">
      <w:rPr>
        <w:b/>
        <w:sz w:val="24"/>
        <w:szCs w:val="24"/>
      </w:rPr>
      <w:t xml:space="preserve">and </w:t>
    </w:r>
    <w:r w:rsidR="00427940">
      <w:rPr>
        <w:b/>
        <w:sz w:val="24"/>
        <w:szCs w:val="24"/>
      </w:rPr>
      <w:t>AHFA Responses</w:t>
    </w:r>
    <w:r w:rsidRPr="007A6076">
      <w:rPr>
        <w:b/>
        <w:sz w:val="24"/>
        <w:szCs w:val="24"/>
      </w:rPr>
      <w:t xml:space="preserve"> </w:t>
    </w:r>
  </w:p>
  <w:p w14:paraId="69E1AC6D" w14:textId="77777777" w:rsidR="002F4C52" w:rsidRDefault="002F4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1AC70" w14:textId="77777777" w:rsidR="002F4C52" w:rsidRPr="007A6076" w:rsidRDefault="002F4C52" w:rsidP="00060334">
    <w:pPr>
      <w:pStyle w:val="Header"/>
      <w:rPr>
        <w:b/>
        <w:sz w:val="24"/>
        <w:szCs w:val="24"/>
      </w:rPr>
    </w:pPr>
    <w:r w:rsidRPr="007A6076">
      <w:rPr>
        <w:b/>
        <w:sz w:val="24"/>
        <w:szCs w:val="24"/>
      </w:rPr>
      <w:t>201</w:t>
    </w:r>
    <w:r>
      <w:rPr>
        <w:b/>
        <w:sz w:val="24"/>
        <w:szCs w:val="24"/>
      </w:rPr>
      <w:t>5</w:t>
    </w:r>
    <w:r w:rsidRPr="007A6076">
      <w:rPr>
        <w:b/>
        <w:sz w:val="24"/>
        <w:szCs w:val="24"/>
      </w:rPr>
      <w:t xml:space="preserve"> State Allocation Plans</w:t>
    </w:r>
  </w:p>
  <w:p w14:paraId="69E1AC71" w14:textId="77777777" w:rsidR="002F4C52" w:rsidRPr="007A6076" w:rsidRDefault="002F4C52" w:rsidP="00060334">
    <w:pPr>
      <w:pStyle w:val="Header"/>
      <w:rPr>
        <w:b/>
        <w:sz w:val="24"/>
        <w:szCs w:val="24"/>
      </w:rPr>
    </w:pPr>
    <w:r w:rsidRPr="007A6076">
      <w:rPr>
        <w:b/>
        <w:sz w:val="24"/>
        <w:szCs w:val="24"/>
      </w:rPr>
      <w:t>Public Comments and AHFA Responses</w:t>
    </w:r>
  </w:p>
  <w:p w14:paraId="69E1AC72" w14:textId="77777777" w:rsidR="002F4C52" w:rsidRDefault="002F4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245F"/>
    <w:multiLevelType w:val="hybridMultilevel"/>
    <w:tmpl w:val="BDC00BF8"/>
    <w:lvl w:ilvl="0" w:tplc="65F61E7E">
      <w:start w:val="1"/>
      <w:numFmt w:val="decimal"/>
      <w:lvlText w:val="%1.)"/>
      <w:lvlJc w:val="left"/>
      <w:pPr>
        <w:ind w:left="720" w:hanging="360"/>
      </w:pPr>
      <w:rPr>
        <w:rFonts w:hint="default"/>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76109"/>
    <w:multiLevelType w:val="hybridMultilevel"/>
    <w:tmpl w:val="A8D0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B0CC6"/>
    <w:multiLevelType w:val="hybridMultilevel"/>
    <w:tmpl w:val="4B44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82340"/>
    <w:multiLevelType w:val="hybridMultilevel"/>
    <w:tmpl w:val="9124AE16"/>
    <w:lvl w:ilvl="0" w:tplc="8F5ADE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B78D2"/>
    <w:multiLevelType w:val="hybridMultilevel"/>
    <w:tmpl w:val="35EAD2BA"/>
    <w:lvl w:ilvl="0" w:tplc="74042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27B83"/>
    <w:multiLevelType w:val="hybridMultilevel"/>
    <w:tmpl w:val="BC64F822"/>
    <w:lvl w:ilvl="0" w:tplc="C8BE99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C3B17"/>
    <w:multiLevelType w:val="hybridMultilevel"/>
    <w:tmpl w:val="B29EF798"/>
    <w:lvl w:ilvl="0" w:tplc="38FCAB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72ECD"/>
    <w:multiLevelType w:val="hybridMultilevel"/>
    <w:tmpl w:val="5386B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D4E7D"/>
    <w:multiLevelType w:val="hybridMultilevel"/>
    <w:tmpl w:val="8AB2560C"/>
    <w:lvl w:ilvl="0" w:tplc="9F20077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F488E"/>
    <w:multiLevelType w:val="hybridMultilevel"/>
    <w:tmpl w:val="48404FE4"/>
    <w:lvl w:ilvl="0" w:tplc="B0680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CB476F"/>
    <w:multiLevelType w:val="hybridMultilevel"/>
    <w:tmpl w:val="AC585738"/>
    <w:numStyleLink w:val="ImportedStyle4"/>
  </w:abstractNum>
  <w:abstractNum w:abstractNumId="11" w15:restartNumberingAfterBreak="0">
    <w:nsid w:val="20261513"/>
    <w:multiLevelType w:val="hybridMultilevel"/>
    <w:tmpl w:val="09126D60"/>
    <w:lvl w:ilvl="0" w:tplc="A7BA0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E4EF0"/>
    <w:multiLevelType w:val="hybridMultilevel"/>
    <w:tmpl w:val="AE4E7F56"/>
    <w:lvl w:ilvl="0" w:tplc="B21661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37CD0"/>
    <w:multiLevelType w:val="hybridMultilevel"/>
    <w:tmpl w:val="F32E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D0295"/>
    <w:multiLevelType w:val="hybridMultilevel"/>
    <w:tmpl w:val="C4241E9A"/>
    <w:lvl w:ilvl="0" w:tplc="CAACDFC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255A1884"/>
    <w:multiLevelType w:val="hybridMultilevel"/>
    <w:tmpl w:val="A8320AD8"/>
    <w:lvl w:ilvl="0" w:tplc="26587E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D7220B"/>
    <w:multiLevelType w:val="hybridMultilevel"/>
    <w:tmpl w:val="86445D84"/>
    <w:lvl w:ilvl="0" w:tplc="263AEF5A">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208B9"/>
    <w:multiLevelType w:val="hybridMultilevel"/>
    <w:tmpl w:val="AC585738"/>
    <w:styleLink w:val="ImportedStyle4"/>
    <w:lvl w:ilvl="0" w:tplc="89CCD370">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82000E">
      <w:start w:val="1"/>
      <w:numFmt w:val="lowerLetter"/>
      <w:lvlText w:val="%2."/>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D6F2AE">
      <w:start w:val="1"/>
      <w:numFmt w:val="lowerRoman"/>
      <w:lvlText w:val="%3."/>
      <w:lvlJc w:val="left"/>
      <w:pPr>
        <w:ind w:left="2185" w:hanging="3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DEF168">
      <w:start w:val="1"/>
      <w:numFmt w:val="decimal"/>
      <w:lvlText w:val="%4."/>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B47EF4">
      <w:start w:val="1"/>
      <w:numFmt w:val="lowerLetter"/>
      <w:lvlText w:val="%5."/>
      <w:lvlJc w:val="left"/>
      <w:pPr>
        <w:ind w:left="36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DA013C">
      <w:start w:val="1"/>
      <w:numFmt w:val="lowerRoman"/>
      <w:lvlText w:val="%6."/>
      <w:lvlJc w:val="left"/>
      <w:pPr>
        <w:ind w:left="4345" w:hanging="3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08034">
      <w:start w:val="1"/>
      <w:numFmt w:val="decimal"/>
      <w:lvlText w:val="%7."/>
      <w:lvlJc w:val="left"/>
      <w:pPr>
        <w:ind w:left="50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3CD5DC">
      <w:start w:val="1"/>
      <w:numFmt w:val="lowerLetter"/>
      <w:lvlText w:val="%8."/>
      <w:lvlJc w:val="left"/>
      <w:pPr>
        <w:ind w:left="57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74565A">
      <w:start w:val="1"/>
      <w:numFmt w:val="lowerRoman"/>
      <w:lvlText w:val="%9."/>
      <w:lvlJc w:val="left"/>
      <w:pPr>
        <w:ind w:left="6505" w:hanging="3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18B5FBD"/>
    <w:multiLevelType w:val="hybridMultilevel"/>
    <w:tmpl w:val="3244BB2E"/>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2F7F95"/>
    <w:multiLevelType w:val="hybridMultilevel"/>
    <w:tmpl w:val="7DBCF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07DFB"/>
    <w:multiLevelType w:val="hybridMultilevel"/>
    <w:tmpl w:val="A9BE8274"/>
    <w:lvl w:ilvl="0" w:tplc="E4D0AE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73F55"/>
    <w:multiLevelType w:val="hybridMultilevel"/>
    <w:tmpl w:val="11F0632A"/>
    <w:lvl w:ilvl="0" w:tplc="703402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B5037"/>
    <w:multiLevelType w:val="hybridMultilevel"/>
    <w:tmpl w:val="1A22DCA8"/>
    <w:lvl w:ilvl="0" w:tplc="9F20077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C26E6"/>
    <w:multiLevelType w:val="hybridMultilevel"/>
    <w:tmpl w:val="F190B95E"/>
    <w:lvl w:ilvl="0" w:tplc="EDBABB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46672"/>
    <w:multiLevelType w:val="hybridMultilevel"/>
    <w:tmpl w:val="A3022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FA0250"/>
    <w:multiLevelType w:val="hybridMultilevel"/>
    <w:tmpl w:val="808ACC10"/>
    <w:lvl w:ilvl="0" w:tplc="CA5E27B4">
      <w:start w:val="1"/>
      <w:numFmt w:val="low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6" w15:restartNumberingAfterBreak="0">
    <w:nsid w:val="4C3721B1"/>
    <w:multiLevelType w:val="hybridMultilevel"/>
    <w:tmpl w:val="F9782966"/>
    <w:lvl w:ilvl="0" w:tplc="7E74B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6000B"/>
    <w:multiLevelType w:val="hybridMultilevel"/>
    <w:tmpl w:val="43CA2918"/>
    <w:lvl w:ilvl="0" w:tplc="3A94A3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F848C3"/>
    <w:multiLevelType w:val="hybridMultilevel"/>
    <w:tmpl w:val="CA6C3734"/>
    <w:lvl w:ilvl="0" w:tplc="7BAAB3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C1205"/>
    <w:multiLevelType w:val="hybridMultilevel"/>
    <w:tmpl w:val="9C8085E2"/>
    <w:lvl w:ilvl="0" w:tplc="4F34FF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2B392D"/>
    <w:multiLevelType w:val="hybridMultilevel"/>
    <w:tmpl w:val="F7424430"/>
    <w:lvl w:ilvl="0" w:tplc="40A463AC">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376ADD"/>
    <w:multiLevelType w:val="hybridMultilevel"/>
    <w:tmpl w:val="32A40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5A0AFE"/>
    <w:multiLevelType w:val="hybridMultilevel"/>
    <w:tmpl w:val="0E32DC40"/>
    <w:lvl w:ilvl="0" w:tplc="04080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067C32"/>
    <w:multiLevelType w:val="hybridMultilevel"/>
    <w:tmpl w:val="CAA48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8717A2"/>
    <w:multiLevelType w:val="hybridMultilevel"/>
    <w:tmpl w:val="9A064E4E"/>
    <w:lvl w:ilvl="0" w:tplc="23061BDE">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1943B83"/>
    <w:multiLevelType w:val="hybridMultilevel"/>
    <w:tmpl w:val="76A05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64BC9"/>
    <w:multiLevelType w:val="hybridMultilevel"/>
    <w:tmpl w:val="A1F605AC"/>
    <w:lvl w:ilvl="0" w:tplc="CF92D4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745F33"/>
    <w:multiLevelType w:val="hybridMultilevel"/>
    <w:tmpl w:val="E83E2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FB6231"/>
    <w:multiLevelType w:val="hybridMultilevel"/>
    <w:tmpl w:val="B66600E4"/>
    <w:lvl w:ilvl="0" w:tplc="C726BAE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7145426C"/>
    <w:multiLevelType w:val="hybridMultilevel"/>
    <w:tmpl w:val="9F5E84C6"/>
    <w:lvl w:ilvl="0" w:tplc="D88E6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D40C25"/>
    <w:multiLevelType w:val="hybridMultilevel"/>
    <w:tmpl w:val="D3E0B114"/>
    <w:lvl w:ilvl="0" w:tplc="CA5E27B4">
      <w:start w:val="1"/>
      <w:numFmt w:val="low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1" w15:restartNumberingAfterBreak="0">
    <w:nsid w:val="76F72496"/>
    <w:multiLevelType w:val="hybridMultilevel"/>
    <w:tmpl w:val="3AFA0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2B38A8"/>
    <w:multiLevelType w:val="hybridMultilevel"/>
    <w:tmpl w:val="0E9E3F00"/>
    <w:lvl w:ilvl="0" w:tplc="66147B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B4070"/>
    <w:multiLevelType w:val="hybridMultilevel"/>
    <w:tmpl w:val="95C4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BC485B"/>
    <w:multiLevelType w:val="hybridMultilevel"/>
    <w:tmpl w:val="074080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1"/>
  </w:num>
  <w:num w:numId="3">
    <w:abstractNumId w:val="24"/>
  </w:num>
  <w:num w:numId="4">
    <w:abstractNumId w:val="35"/>
  </w:num>
  <w:num w:numId="5">
    <w:abstractNumId w:val="20"/>
  </w:num>
  <w:num w:numId="6">
    <w:abstractNumId w:val="6"/>
  </w:num>
  <w:num w:numId="7">
    <w:abstractNumId w:val="42"/>
  </w:num>
  <w:num w:numId="8">
    <w:abstractNumId w:val="21"/>
  </w:num>
  <w:num w:numId="9">
    <w:abstractNumId w:val="15"/>
  </w:num>
  <w:num w:numId="10">
    <w:abstractNumId w:val="26"/>
  </w:num>
  <w:num w:numId="11">
    <w:abstractNumId w:val="39"/>
  </w:num>
  <w:num w:numId="12">
    <w:abstractNumId w:val="32"/>
  </w:num>
  <w:num w:numId="13">
    <w:abstractNumId w:val="12"/>
  </w:num>
  <w:num w:numId="14">
    <w:abstractNumId w:val="5"/>
  </w:num>
  <w:num w:numId="15">
    <w:abstractNumId w:val="18"/>
  </w:num>
  <w:num w:numId="16">
    <w:abstractNumId w:val="11"/>
  </w:num>
  <w:num w:numId="17">
    <w:abstractNumId w:val="7"/>
  </w:num>
  <w:num w:numId="18">
    <w:abstractNumId w:val="2"/>
  </w:num>
  <w:num w:numId="19">
    <w:abstractNumId w:val="31"/>
  </w:num>
  <w:num w:numId="20">
    <w:abstractNumId w:val="37"/>
  </w:num>
  <w:num w:numId="21">
    <w:abstractNumId w:val="43"/>
  </w:num>
  <w:num w:numId="22">
    <w:abstractNumId w:val="13"/>
  </w:num>
  <w:num w:numId="23">
    <w:abstractNumId w:val="1"/>
  </w:num>
  <w:num w:numId="24">
    <w:abstractNumId w:val="34"/>
  </w:num>
  <w:num w:numId="25">
    <w:abstractNumId w:val="17"/>
  </w:num>
  <w:num w:numId="26">
    <w:abstractNumId w:val="10"/>
  </w:num>
  <w:num w:numId="27">
    <w:abstractNumId w:val="10"/>
    <w:lvlOverride w:ilvl="0">
      <w:lvl w:ilvl="0" w:tplc="5B74DDCE">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3F8E898">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55289A0">
        <w:start w:val="1"/>
        <w:numFmt w:val="lowerRoman"/>
        <w:lvlText w:val="%3."/>
        <w:lvlJc w:val="left"/>
        <w:pPr>
          <w:ind w:left="2185" w:hanging="3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D7C63E4">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7822660">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D5C67FA">
        <w:start w:val="1"/>
        <w:numFmt w:val="lowerRoman"/>
        <w:lvlText w:val="%6."/>
        <w:lvlJc w:val="left"/>
        <w:pPr>
          <w:ind w:left="4345" w:hanging="3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976B876">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80463C8">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F28AF0C">
        <w:start w:val="1"/>
        <w:numFmt w:val="lowerRoman"/>
        <w:lvlText w:val="%9."/>
        <w:lvlJc w:val="left"/>
        <w:pPr>
          <w:ind w:left="6505" w:hanging="3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40"/>
  </w:num>
  <w:num w:numId="29">
    <w:abstractNumId w:val="29"/>
  </w:num>
  <w:num w:numId="30">
    <w:abstractNumId w:val="4"/>
  </w:num>
  <w:num w:numId="31">
    <w:abstractNumId w:val="38"/>
  </w:num>
  <w:num w:numId="32">
    <w:abstractNumId w:val="14"/>
  </w:num>
  <w:num w:numId="33">
    <w:abstractNumId w:val="25"/>
  </w:num>
  <w:num w:numId="34">
    <w:abstractNumId w:val="8"/>
  </w:num>
  <w:num w:numId="35">
    <w:abstractNumId w:val="22"/>
  </w:num>
  <w:num w:numId="36">
    <w:abstractNumId w:val="33"/>
  </w:num>
  <w:num w:numId="37">
    <w:abstractNumId w:val="44"/>
  </w:num>
  <w:num w:numId="38">
    <w:abstractNumId w:val="0"/>
  </w:num>
  <w:num w:numId="39">
    <w:abstractNumId w:val="30"/>
  </w:num>
  <w:num w:numId="40">
    <w:abstractNumId w:val="16"/>
  </w:num>
  <w:num w:numId="41">
    <w:abstractNumId w:val="23"/>
  </w:num>
  <w:num w:numId="42">
    <w:abstractNumId w:val="9"/>
  </w:num>
  <w:num w:numId="43">
    <w:abstractNumId w:val="27"/>
  </w:num>
  <w:num w:numId="44">
    <w:abstractNumId w:val="36"/>
  </w:num>
  <w:num w:numId="45">
    <w:abstractNumId w:val="28"/>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E0D"/>
    <w:rsid w:val="00002C89"/>
    <w:rsid w:val="00002DE2"/>
    <w:rsid w:val="00005CA0"/>
    <w:rsid w:val="00007752"/>
    <w:rsid w:val="00011042"/>
    <w:rsid w:val="00011438"/>
    <w:rsid w:val="0001387B"/>
    <w:rsid w:val="00013F52"/>
    <w:rsid w:val="000155AB"/>
    <w:rsid w:val="00015625"/>
    <w:rsid w:val="00021843"/>
    <w:rsid w:val="0002307E"/>
    <w:rsid w:val="00032F12"/>
    <w:rsid w:val="00033B65"/>
    <w:rsid w:val="00035738"/>
    <w:rsid w:val="000372FC"/>
    <w:rsid w:val="00037AAE"/>
    <w:rsid w:val="00040402"/>
    <w:rsid w:val="00040539"/>
    <w:rsid w:val="000406E5"/>
    <w:rsid w:val="00040BF6"/>
    <w:rsid w:val="00040C62"/>
    <w:rsid w:val="00041BFC"/>
    <w:rsid w:val="00042205"/>
    <w:rsid w:val="00042BD0"/>
    <w:rsid w:val="0004679A"/>
    <w:rsid w:val="0004711B"/>
    <w:rsid w:val="00051DEB"/>
    <w:rsid w:val="000521B5"/>
    <w:rsid w:val="0005603C"/>
    <w:rsid w:val="000561D0"/>
    <w:rsid w:val="000570A2"/>
    <w:rsid w:val="00057457"/>
    <w:rsid w:val="000576FD"/>
    <w:rsid w:val="00060334"/>
    <w:rsid w:val="00060E41"/>
    <w:rsid w:val="00061A51"/>
    <w:rsid w:val="000640AA"/>
    <w:rsid w:val="000658AB"/>
    <w:rsid w:val="00067231"/>
    <w:rsid w:val="00071417"/>
    <w:rsid w:val="00071EA7"/>
    <w:rsid w:val="0007442A"/>
    <w:rsid w:val="00076F9C"/>
    <w:rsid w:val="00080F58"/>
    <w:rsid w:val="00081564"/>
    <w:rsid w:val="000818C6"/>
    <w:rsid w:val="00084747"/>
    <w:rsid w:val="00084AAD"/>
    <w:rsid w:val="00084DD4"/>
    <w:rsid w:val="000851B2"/>
    <w:rsid w:val="00086FC3"/>
    <w:rsid w:val="000901CC"/>
    <w:rsid w:val="00090AE0"/>
    <w:rsid w:val="000914CC"/>
    <w:rsid w:val="00092526"/>
    <w:rsid w:val="00092DDA"/>
    <w:rsid w:val="00093BA5"/>
    <w:rsid w:val="00094F25"/>
    <w:rsid w:val="00095FA3"/>
    <w:rsid w:val="000A2AED"/>
    <w:rsid w:val="000A3504"/>
    <w:rsid w:val="000A5CB6"/>
    <w:rsid w:val="000A704A"/>
    <w:rsid w:val="000B44F1"/>
    <w:rsid w:val="000B48EF"/>
    <w:rsid w:val="000C06FA"/>
    <w:rsid w:val="000C0872"/>
    <w:rsid w:val="000C1AFC"/>
    <w:rsid w:val="000C2F10"/>
    <w:rsid w:val="000C3D5B"/>
    <w:rsid w:val="000C3F34"/>
    <w:rsid w:val="000C47CF"/>
    <w:rsid w:val="000C5727"/>
    <w:rsid w:val="000C69E1"/>
    <w:rsid w:val="000C7A6B"/>
    <w:rsid w:val="000D2A20"/>
    <w:rsid w:val="000D366C"/>
    <w:rsid w:val="000D3A5C"/>
    <w:rsid w:val="000D54EE"/>
    <w:rsid w:val="000D66D9"/>
    <w:rsid w:val="000D6D5A"/>
    <w:rsid w:val="000E005E"/>
    <w:rsid w:val="000E0E53"/>
    <w:rsid w:val="000E1A0A"/>
    <w:rsid w:val="000E31EF"/>
    <w:rsid w:val="000E3FF6"/>
    <w:rsid w:val="000E62F0"/>
    <w:rsid w:val="000E7951"/>
    <w:rsid w:val="000E7EDC"/>
    <w:rsid w:val="000F0029"/>
    <w:rsid w:val="000F1336"/>
    <w:rsid w:val="000F1C08"/>
    <w:rsid w:val="000F1C71"/>
    <w:rsid w:val="000F1CE6"/>
    <w:rsid w:val="000F1F40"/>
    <w:rsid w:val="000F2739"/>
    <w:rsid w:val="000F2DDB"/>
    <w:rsid w:val="000F4DE4"/>
    <w:rsid w:val="000F55A3"/>
    <w:rsid w:val="000F64D3"/>
    <w:rsid w:val="000F7384"/>
    <w:rsid w:val="000F7442"/>
    <w:rsid w:val="00100274"/>
    <w:rsid w:val="00100A9C"/>
    <w:rsid w:val="0010256F"/>
    <w:rsid w:val="00102AD7"/>
    <w:rsid w:val="00102AF4"/>
    <w:rsid w:val="00103FBA"/>
    <w:rsid w:val="001047D3"/>
    <w:rsid w:val="00104A8C"/>
    <w:rsid w:val="00105133"/>
    <w:rsid w:val="00105348"/>
    <w:rsid w:val="00105E4D"/>
    <w:rsid w:val="001065E3"/>
    <w:rsid w:val="00106753"/>
    <w:rsid w:val="00106EB3"/>
    <w:rsid w:val="00107BFA"/>
    <w:rsid w:val="0011010D"/>
    <w:rsid w:val="00110ED4"/>
    <w:rsid w:val="00111185"/>
    <w:rsid w:val="0011199B"/>
    <w:rsid w:val="001135FD"/>
    <w:rsid w:val="00113A7C"/>
    <w:rsid w:val="001148CA"/>
    <w:rsid w:val="001200EE"/>
    <w:rsid w:val="001208F4"/>
    <w:rsid w:val="0012148D"/>
    <w:rsid w:val="00121CD6"/>
    <w:rsid w:val="00122D70"/>
    <w:rsid w:val="0012378F"/>
    <w:rsid w:val="0012434E"/>
    <w:rsid w:val="0012476B"/>
    <w:rsid w:val="00124F42"/>
    <w:rsid w:val="00130C28"/>
    <w:rsid w:val="00132D9A"/>
    <w:rsid w:val="0013602A"/>
    <w:rsid w:val="0013602F"/>
    <w:rsid w:val="001411CC"/>
    <w:rsid w:val="0014283F"/>
    <w:rsid w:val="00142BAA"/>
    <w:rsid w:val="00143C8D"/>
    <w:rsid w:val="00144725"/>
    <w:rsid w:val="00147741"/>
    <w:rsid w:val="00150BBA"/>
    <w:rsid w:val="001515C0"/>
    <w:rsid w:val="00151CBE"/>
    <w:rsid w:val="0015243F"/>
    <w:rsid w:val="001524AD"/>
    <w:rsid w:val="00152677"/>
    <w:rsid w:val="00153A10"/>
    <w:rsid w:val="00157F3F"/>
    <w:rsid w:val="0016063D"/>
    <w:rsid w:val="00161222"/>
    <w:rsid w:val="00161501"/>
    <w:rsid w:val="00161CD5"/>
    <w:rsid w:val="001620C1"/>
    <w:rsid w:val="00162349"/>
    <w:rsid w:val="001627FD"/>
    <w:rsid w:val="00174A5F"/>
    <w:rsid w:val="00175EF5"/>
    <w:rsid w:val="001776B8"/>
    <w:rsid w:val="00177EBC"/>
    <w:rsid w:val="001819CA"/>
    <w:rsid w:val="00183DB6"/>
    <w:rsid w:val="00186069"/>
    <w:rsid w:val="00186316"/>
    <w:rsid w:val="0018699A"/>
    <w:rsid w:val="00186D18"/>
    <w:rsid w:val="00190A72"/>
    <w:rsid w:val="00191759"/>
    <w:rsid w:val="00192E43"/>
    <w:rsid w:val="001951B3"/>
    <w:rsid w:val="00195269"/>
    <w:rsid w:val="00195B6B"/>
    <w:rsid w:val="00196D32"/>
    <w:rsid w:val="001A0C8E"/>
    <w:rsid w:val="001A29F5"/>
    <w:rsid w:val="001A346A"/>
    <w:rsid w:val="001A6FD7"/>
    <w:rsid w:val="001A70E6"/>
    <w:rsid w:val="001B0EB3"/>
    <w:rsid w:val="001B1AA7"/>
    <w:rsid w:val="001B292C"/>
    <w:rsid w:val="001B3C58"/>
    <w:rsid w:val="001B4473"/>
    <w:rsid w:val="001B455F"/>
    <w:rsid w:val="001B53F0"/>
    <w:rsid w:val="001B5B62"/>
    <w:rsid w:val="001B5C70"/>
    <w:rsid w:val="001B6C6A"/>
    <w:rsid w:val="001B71DB"/>
    <w:rsid w:val="001C08D4"/>
    <w:rsid w:val="001C0F88"/>
    <w:rsid w:val="001C2B93"/>
    <w:rsid w:val="001C2D04"/>
    <w:rsid w:val="001C537E"/>
    <w:rsid w:val="001C6FB4"/>
    <w:rsid w:val="001C7110"/>
    <w:rsid w:val="001D474A"/>
    <w:rsid w:val="001D508E"/>
    <w:rsid w:val="001D6A23"/>
    <w:rsid w:val="001D7280"/>
    <w:rsid w:val="001E2888"/>
    <w:rsid w:val="001E29A8"/>
    <w:rsid w:val="001E3CE6"/>
    <w:rsid w:val="001E3D72"/>
    <w:rsid w:val="001E3D7B"/>
    <w:rsid w:val="001E496A"/>
    <w:rsid w:val="001E567D"/>
    <w:rsid w:val="001E587E"/>
    <w:rsid w:val="001E6B11"/>
    <w:rsid w:val="001E6E91"/>
    <w:rsid w:val="001E70DB"/>
    <w:rsid w:val="001E7E38"/>
    <w:rsid w:val="001F167C"/>
    <w:rsid w:val="001F1779"/>
    <w:rsid w:val="001F1D52"/>
    <w:rsid w:val="001F1DEB"/>
    <w:rsid w:val="001F3B31"/>
    <w:rsid w:val="001F3C17"/>
    <w:rsid w:val="001F42FD"/>
    <w:rsid w:val="001F4454"/>
    <w:rsid w:val="001F482E"/>
    <w:rsid w:val="001F5F04"/>
    <w:rsid w:val="001F69E5"/>
    <w:rsid w:val="00204FF3"/>
    <w:rsid w:val="002133A7"/>
    <w:rsid w:val="00213ECB"/>
    <w:rsid w:val="00214DCB"/>
    <w:rsid w:val="002162E3"/>
    <w:rsid w:val="00217A9A"/>
    <w:rsid w:val="00221D45"/>
    <w:rsid w:val="002241EF"/>
    <w:rsid w:val="00224E82"/>
    <w:rsid w:val="002252E1"/>
    <w:rsid w:val="00231228"/>
    <w:rsid w:val="00232611"/>
    <w:rsid w:val="0023530C"/>
    <w:rsid w:val="00235910"/>
    <w:rsid w:val="00240985"/>
    <w:rsid w:val="00240DB7"/>
    <w:rsid w:val="00242C85"/>
    <w:rsid w:val="00242E13"/>
    <w:rsid w:val="00243922"/>
    <w:rsid w:val="00244355"/>
    <w:rsid w:val="00244F07"/>
    <w:rsid w:val="00244FA2"/>
    <w:rsid w:val="0024565D"/>
    <w:rsid w:val="00247526"/>
    <w:rsid w:val="00247F46"/>
    <w:rsid w:val="00251E13"/>
    <w:rsid w:val="00256823"/>
    <w:rsid w:val="00262D41"/>
    <w:rsid w:val="00262D45"/>
    <w:rsid w:val="00262E9D"/>
    <w:rsid w:val="002639F3"/>
    <w:rsid w:val="00264965"/>
    <w:rsid w:val="00265757"/>
    <w:rsid w:val="0026617B"/>
    <w:rsid w:val="00274C18"/>
    <w:rsid w:val="00275066"/>
    <w:rsid w:val="00276246"/>
    <w:rsid w:val="0027794A"/>
    <w:rsid w:val="00281B32"/>
    <w:rsid w:val="00282EB0"/>
    <w:rsid w:val="002863D7"/>
    <w:rsid w:val="00286D4D"/>
    <w:rsid w:val="0028734F"/>
    <w:rsid w:val="0029064E"/>
    <w:rsid w:val="00290746"/>
    <w:rsid w:val="00294A77"/>
    <w:rsid w:val="00295B28"/>
    <w:rsid w:val="00296525"/>
    <w:rsid w:val="00296973"/>
    <w:rsid w:val="002970B6"/>
    <w:rsid w:val="00297A2B"/>
    <w:rsid w:val="002A017C"/>
    <w:rsid w:val="002A06AD"/>
    <w:rsid w:val="002A323A"/>
    <w:rsid w:val="002A5969"/>
    <w:rsid w:val="002A6086"/>
    <w:rsid w:val="002A6949"/>
    <w:rsid w:val="002A6D2C"/>
    <w:rsid w:val="002A7D53"/>
    <w:rsid w:val="002B0714"/>
    <w:rsid w:val="002B0EDE"/>
    <w:rsid w:val="002B23EF"/>
    <w:rsid w:val="002B6F0E"/>
    <w:rsid w:val="002B7641"/>
    <w:rsid w:val="002C1ED7"/>
    <w:rsid w:val="002C41CE"/>
    <w:rsid w:val="002C50D7"/>
    <w:rsid w:val="002C57CC"/>
    <w:rsid w:val="002C65F9"/>
    <w:rsid w:val="002C6F1E"/>
    <w:rsid w:val="002D2B69"/>
    <w:rsid w:val="002D2EAB"/>
    <w:rsid w:val="002D4EDA"/>
    <w:rsid w:val="002D508D"/>
    <w:rsid w:val="002E1CF7"/>
    <w:rsid w:val="002E32F1"/>
    <w:rsid w:val="002E52FD"/>
    <w:rsid w:val="002E5913"/>
    <w:rsid w:val="002E596F"/>
    <w:rsid w:val="002E66CE"/>
    <w:rsid w:val="002F0CA3"/>
    <w:rsid w:val="002F1246"/>
    <w:rsid w:val="002F4431"/>
    <w:rsid w:val="002F48B9"/>
    <w:rsid w:val="002F4C52"/>
    <w:rsid w:val="002F508F"/>
    <w:rsid w:val="002F5AF1"/>
    <w:rsid w:val="002F5C87"/>
    <w:rsid w:val="003002DE"/>
    <w:rsid w:val="00300EED"/>
    <w:rsid w:val="00302CC8"/>
    <w:rsid w:val="00304214"/>
    <w:rsid w:val="00304848"/>
    <w:rsid w:val="00304989"/>
    <w:rsid w:val="003050EE"/>
    <w:rsid w:val="00305BD9"/>
    <w:rsid w:val="003061D1"/>
    <w:rsid w:val="00306689"/>
    <w:rsid w:val="00307429"/>
    <w:rsid w:val="00311553"/>
    <w:rsid w:val="0031250A"/>
    <w:rsid w:val="00314A44"/>
    <w:rsid w:val="0031524E"/>
    <w:rsid w:val="00315BCC"/>
    <w:rsid w:val="00321235"/>
    <w:rsid w:val="00321ABC"/>
    <w:rsid w:val="00321D1E"/>
    <w:rsid w:val="003223D9"/>
    <w:rsid w:val="0032360E"/>
    <w:rsid w:val="00326C64"/>
    <w:rsid w:val="003301CA"/>
    <w:rsid w:val="003305AE"/>
    <w:rsid w:val="00330640"/>
    <w:rsid w:val="00331F65"/>
    <w:rsid w:val="00332D88"/>
    <w:rsid w:val="00332EAE"/>
    <w:rsid w:val="0033477C"/>
    <w:rsid w:val="00334A26"/>
    <w:rsid w:val="00335587"/>
    <w:rsid w:val="003360A8"/>
    <w:rsid w:val="003364D1"/>
    <w:rsid w:val="00336832"/>
    <w:rsid w:val="003368A3"/>
    <w:rsid w:val="003402E6"/>
    <w:rsid w:val="00344C28"/>
    <w:rsid w:val="00344C7C"/>
    <w:rsid w:val="00344F41"/>
    <w:rsid w:val="0034570D"/>
    <w:rsid w:val="0034617F"/>
    <w:rsid w:val="0035074D"/>
    <w:rsid w:val="003509D2"/>
    <w:rsid w:val="00350BA7"/>
    <w:rsid w:val="00351B7B"/>
    <w:rsid w:val="00352216"/>
    <w:rsid w:val="00352DAB"/>
    <w:rsid w:val="003545D7"/>
    <w:rsid w:val="00355594"/>
    <w:rsid w:val="003557DC"/>
    <w:rsid w:val="00360E95"/>
    <w:rsid w:val="0036312F"/>
    <w:rsid w:val="00367BF8"/>
    <w:rsid w:val="00370071"/>
    <w:rsid w:val="003704B9"/>
    <w:rsid w:val="00371200"/>
    <w:rsid w:val="00371A34"/>
    <w:rsid w:val="00371EDF"/>
    <w:rsid w:val="0037323F"/>
    <w:rsid w:val="00375D61"/>
    <w:rsid w:val="00376F66"/>
    <w:rsid w:val="0037705E"/>
    <w:rsid w:val="00377414"/>
    <w:rsid w:val="0037762E"/>
    <w:rsid w:val="003820FA"/>
    <w:rsid w:val="00382422"/>
    <w:rsid w:val="00383ABC"/>
    <w:rsid w:val="003840C9"/>
    <w:rsid w:val="0038686F"/>
    <w:rsid w:val="0039095A"/>
    <w:rsid w:val="0039133C"/>
    <w:rsid w:val="00391D52"/>
    <w:rsid w:val="00391DD9"/>
    <w:rsid w:val="00392E3E"/>
    <w:rsid w:val="0039620F"/>
    <w:rsid w:val="00396AB7"/>
    <w:rsid w:val="003973E2"/>
    <w:rsid w:val="003974FF"/>
    <w:rsid w:val="00397FCB"/>
    <w:rsid w:val="003A0BD5"/>
    <w:rsid w:val="003A291A"/>
    <w:rsid w:val="003A2977"/>
    <w:rsid w:val="003A4B58"/>
    <w:rsid w:val="003A5AAD"/>
    <w:rsid w:val="003A62F4"/>
    <w:rsid w:val="003A799D"/>
    <w:rsid w:val="003A7B74"/>
    <w:rsid w:val="003B02A6"/>
    <w:rsid w:val="003B056B"/>
    <w:rsid w:val="003B085D"/>
    <w:rsid w:val="003B0E67"/>
    <w:rsid w:val="003B3B8D"/>
    <w:rsid w:val="003B4EAA"/>
    <w:rsid w:val="003B51FB"/>
    <w:rsid w:val="003B7E44"/>
    <w:rsid w:val="003C10C0"/>
    <w:rsid w:val="003C10DE"/>
    <w:rsid w:val="003C456E"/>
    <w:rsid w:val="003C4736"/>
    <w:rsid w:val="003C4E85"/>
    <w:rsid w:val="003C564B"/>
    <w:rsid w:val="003C5A99"/>
    <w:rsid w:val="003C7362"/>
    <w:rsid w:val="003D01B6"/>
    <w:rsid w:val="003D26CD"/>
    <w:rsid w:val="003D3322"/>
    <w:rsid w:val="003D36BD"/>
    <w:rsid w:val="003D3900"/>
    <w:rsid w:val="003D442A"/>
    <w:rsid w:val="003D5CC0"/>
    <w:rsid w:val="003D737F"/>
    <w:rsid w:val="003D7D0D"/>
    <w:rsid w:val="003E1959"/>
    <w:rsid w:val="003E34A6"/>
    <w:rsid w:val="003E3972"/>
    <w:rsid w:val="003E48CB"/>
    <w:rsid w:val="003E4EF0"/>
    <w:rsid w:val="003E50C7"/>
    <w:rsid w:val="003E7FF2"/>
    <w:rsid w:val="003F23D5"/>
    <w:rsid w:val="004007B5"/>
    <w:rsid w:val="004035C9"/>
    <w:rsid w:val="004039E1"/>
    <w:rsid w:val="00404C20"/>
    <w:rsid w:val="00404DB8"/>
    <w:rsid w:val="004061CE"/>
    <w:rsid w:val="00406BED"/>
    <w:rsid w:val="00406F63"/>
    <w:rsid w:val="004119C8"/>
    <w:rsid w:val="00411DE8"/>
    <w:rsid w:val="004120C2"/>
    <w:rsid w:val="00413753"/>
    <w:rsid w:val="004138E3"/>
    <w:rsid w:val="00414566"/>
    <w:rsid w:val="0041609B"/>
    <w:rsid w:val="00417522"/>
    <w:rsid w:val="00417543"/>
    <w:rsid w:val="004177C9"/>
    <w:rsid w:val="00420874"/>
    <w:rsid w:val="00420F2F"/>
    <w:rsid w:val="00422826"/>
    <w:rsid w:val="0042464F"/>
    <w:rsid w:val="00426869"/>
    <w:rsid w:val="00426D74"/>
    <w:rsid w:val="00427940"/>
    <w:rsid w:val="004370C8"/>
    <w:rsid w:val="00437A89"/>
    <w:rsid w:val="00442A83"/>
    <w:rsid w:val="00442BD1"/>
    <w:rsid w:val="00443987"/>
    <w:rsid w:val="0044517B"/>
    <w:rsid w:val="00446BBB"/>
    <w:rsid w:val="0045017D"/>
    <w:rsid w:val="004501C2"/>
    <w:rsid w:val="00450AFA"/>
    <w:rsid w:val="00450D72"/>
    <w:rsid w:val="004511BE"/>
    <w:rsid w:val="0045155E"/>
    <w:rsid w:val="0045175C"/>
    <w:rsid w:val="00452A6C"/>
    <w:rsid w:val="004538ED"/>
    <w:rsid w:val="004555B1"/>
    <w:rsid w:val="00455C9D"/>
    <w:rsid w:val="00456E58"/>
    <w:rsid w:val="00460D4A"/>
    <w:rsid w:val="00461A2B"/>
    <w:rsid w:val="00463CC2"/>
    <w:rsid w:val="004656B0"/>
    <w:rsid w:val="00465F23"/>
    <w:rsid w:val="00466B08"/>
    <w:rsid w:val="00466B36"/>
    <w:rsid w:val="00467AEF"/>
    <w:rsid w:val="0047017F"/>
    <w:rsid w:val="0047139E"/>
    <w:rsid w:val="0047261E"/>
    <w:rsid w:val="00473593"/>
    <w:rsid w:val="00473A0F"/>
    <w:rsid w:val="00475D60"/>
    <w:rsid w:val="004765C2"/>
    <w:rsid w:val="004768E8"/>
    <w:rsid w:val="00480EC2"/>
    <w:rsid w:val="00481ACF"/>
    <w:rsid w:val="00481F9F"/>
    <w:rsid w:val="00482E86"/>
    <w:rsid w:val="00484070"/>
    <w:rsid w:val="00484C1B"/>
    <w:rsid w:val="004859D2"/>
    <w:rsid w:val="00487840"/>
    <w:rsid w:val="00491094"/>
    <w:rsid w:val="00492DC6"/>
    <w:rsid w:val="00494AF3"/>
    <w:rsid w:val="00495A51"/>
    <w:rsid w:val="00495E4C"/>
    <w:rsid w:val="00495EC6"/>
    <w:rsid w:val="00495EFA"/>
    <w:rsid w:val="00497F0A"/>
    <w:rsid w:val="004A1208"/>
    <w:rsid w:val="004A1DCA"/>
    <w:rsid w:val="004A1FF9"/>
    <w:rsid w:val="004A2A9D"/>
    <w:rsid w:val="004A61C6"/>
    <w:rsid w:val="004B1218"/>
    <w:rsid w:val="004B3357"/>
    <w:rsid w:val="004B336A"/>
    <w:rsid w:val="004C04E4"/>
    <w:rsid w:val="004C0570"/>
    <w:rsid w:val="004C128A"/>
    <w:rsid w:val="004C39B6"/>
    <w:rsid w:val="004C3BC1"/>
    <w:rsid w:val="004C4AE6"/>
    <w:rsid w:val="004C5B4F"/>
    <w:rsid w:val="004C5C61"/>
    <w:rsid w:val="004C5E26"/>
    <w:rsid w:val="004C72AE"/>
    <w:rsid w:val="004D02BC"/>
    <w:rsid w:val="004D11F6"/>
    <w:rsid w:val="004D14C2"/>
    <w:rsid w:val="004D49EF"/>
    <w:rsid w:val="004D4EA9"/>
    <w:rsid w:val="004D5061"/>
    <w:rsid w:val="004D5E0D"/>
    <w:rsid w:val="004D5EE8"/>
    <w:rsid w:val="004E336A"/>
    <w:rsid w:val="004E423C"/>
    <w:rsid w:val="004F0065"/>
    <w:rsid w:val="004F03A8"/>
    <w:rsid w:val="004F0C1D"/>
    <w:rsid w:val="004F4F50"/>
    <w:rsid w:val="004F55B7"/>
    <w:rsid w:val="004F55EA"/>
    <w:rsid w:val="0050055F"/>
    <w:rsid w:val="00500820"/>
    <w:rsid w:val="00503706"/>
    <w:rsid w:val="005110E2"/>
    <w:rsid w:val="005110F0"/>
    <w:rsid w:val="005126DE"/>
    <w:rsid w:val="005159BB"/>
    <w:rsid w:val="00515D61"/>
    <w:rsid w:val="005165EA"/>
    <w:rsid w:val="00516C13"/>
    <w:rsid w:val="0051709E"/>
    <w:rsid w:val="00520DF1"/>
    <w:rsid w:val="00522758"/>
    <w:rsid w:val="0052404F"/>
    <w:rsid w:val="00524C84"/>
    <w:rsid w:val="00524E9F"/>
    <w:rsid w:val="005268A7"/>
    <w:rsid w:val="00526D68"/>
    <w:rsid w:val="005277B7"/>
    <w:rsid w:val="00527AEE"/>
    <w:rsid w:val="005312AD"/>
    <w:rsid w:val="005329A4"/>
    <w:rsid w:val="00532B8C"/>
    <w:rsid w:val="00534619"/>
    <w:rsid w:val="00534DB0"/>
    <w:rsid w:val="00534F0C"/>
    <w:rsid w:val="0053722F"/>
    <w:rsid w:val="005404C5"/>
    <w:rsid w:val="005428A9"/>
    <w:rsid w:val="005430C9"/>
    <w:rsid w:val="005441C6"/>
    <w:rsid w:val="00544BE7"/>
    <w:rsid w:val="00545499"/>
    <w:rsid w:val="00546816"/>
    <w:rsid w:val="00547666"/>
    <w:rsid w:val="0055255C"/>
    <w:rsid w:val="005534B0"/>
    <w:rsid w:val="005537AB"/>
    <w:rsid w:val="00556A50"/>
    <w:rsid w:val="00557E8B"/>
    <w:rsid w:val="0056139E"/>
    <w:rsid w:val="00561FEF"/>
    <w:rsid w:val="005639A3"/>
    <w:rsid w:val="00563A3D"/>
    <w:rsid w:val="00563B06"/>
    <w:rsid w:val="00563EA8"/>
    <w:rsid w:val="0056555D"/>
    <w:rsid w:val="00566312"/>
    <w:rsid w:val="00566701"/>
    <w:rsid w:val="00567004"/>
    <w:rsid w:val="00570D18"/>
    <w:rsid w:val="00570E5C"/>
    <w:rsid w:val="005716A7"/>
    <w:rsid w:val="00572451"/>
    <w:rsid w:val="005744B6"/>
    <w:rsid w:val="00575A6B"/>
    <w:rsid w:val="00575C35"/>
    <w:rsid w:val="00575DFE"/>
    <w:rsid w:val="005760A4"/>
    <w:rsid w:val="00577CCB"/>
    <w:rsid w:val="00580B99"/>
    <w:rsid w:val="00581462"/>
    <w:rsid w:val="005814F9"/>
    <w:rsid w:val="00581983"/>
    <w:rsid w:val="00581F9A"/>
    <w:rsid w:val="005828A9"/>
    <w:rsid w:val="00582BFA"/>
    <w:rsid w:val="00582C86"/>
    <w:rsid w:val="00584BCD"/>
    <w:rsid w:val="00587F91"/>
    <w:rsid w:val="0059298E"/>
    <w:rsid w:val="00592D1A"/>
    <w:rsid w:val="0059307E"/>
    <w:rsid w:val="00594BBF"/>
    <w:rsid w:val="00596CE0"/>
    <w:rsid w:val="00596E27"/>
    <w:rsid w:val="00597216"/>
    <w:rsid w:val="00597321"/>
    <w:rsid w:val="00597C05"/>
    <w:rsid w:val="005A1B63"/>
    <w:rsid w:val="005A1E5F"/>
    <w:rsid w:val="005A68A8"/>
    <w:rsid w:val="005B0CFE"/>
    <w:rsid w:val="005B1742"/>
    <w:rsid w:val="005B30FE"/>
    <w:rsid w:val="005B3A99"/>
    <w:rsid w:val="005B44CF"/>
    <w:rsid w:val="005C008E"/>
    <w:rsid w:val="005C1FA3"/>
    <w:rsid w:val="005C244F"/>
    <w:rsid w:val="005C2868"/>
    <w:rsid w:val="005C2A34"/>
    <w:rsid w:val="005C3029"/>
    <w:rsid w:val="005C4846"/>
    <w:rsid w:val="005C4FE5"/>
    <w:rsid w:val="005C5C34"/>
    <w:rsid w:val="005D061E"/>
    <w:rsid w:val="005D0933"/>
    <w:rsid w:val="005D0B46"/>
    <w:rsid w:val="005D0D77"/>
    <w:rsid w:val="005D1491"/>
    <w:rsid w:val="005D40E8"/>
    <w:rsid w:val="005D4205"/>
    <w:rsid w:val="005D4972"/>
    <w:rsid w:val="005D56EC"/>
    <w:rsid w:val="005D6BF7"/>
    <w:rsid w:val="005E2015"/>
    <w:rsid w:val="005E439F"/>
    <w:rsid w:val="005E46EC"/>
    <w:rsid w:val="005E4EFC"/>
    <w:rsid w:val="005E6A13"/>
    <w:rsid w:val="005F0FA9"/>
    <w:rsid w:val="005F3EBA"/>
    <w:rsid w:val="005F42D2"/>
    <w:rsid w:val="005F49AD"/>
    <w:rsid w:val="00603569"/>
    <w:rsid w:val="00603E45"/>
    <w:rsid w:val="00605025"/>
    <w:rsid w:val="00605086"/>
    <w:rsid w:val="00606203"/>
    <w:rsid w:val="00606E4B"/>
    <w:rsid w:val="006101B3"/>
    <w:rsid w:val="006111D5"/>
    <w:rsid w:val="00611E8A"/>
    <w:rsid w:val="0061224B"/>
    <w:rsid w:val="00612250"/>
    <w:rsid w:val="006126E6"/>
    <w:rsid w:val="0061270C"/>
    <w:rsid w:val="00612994"/>
    <w:rsid w:val="00613A0E"/>
    <w:rsid w:val="006155A1"/>
    <w:rsid w:val="00615D0F"/>
    <w:rsid w:val="0061678B"/>
    <w:rsid w:val="00616827"/>
    <w:rsid w:val="00616E8A"/>
    <w:rsid w:val="006177BB"/>
    <w:rsid w:val="00623105"/>
    <w:rsid w:val="006245FE"/>
    <w:rsid w:val="006260BE"/>
    <w:rsid w:val="00627D06"/>
    <w:rsid w:val="00630515"/>
    <w:rsid w:val="00630947"/>
    <w:rsid w:val="00632885"/>
    <w:rsid w:val="006336BB"/>
    <w:rsid w:val="00635AB0"/>
    <w:rsid w:val="0063625B"/>
    <w:rsid w:val="00636AF7"/>
    <w:rsid w:val="00637983"/>
    <w:rsid w:val="00640314"/>
    <w:rsid w:val="00640738"/>
    <w:rsid w:val="006411C1"/>
    <w:rsid w:val="006415FE"/>
    <w:rsid w:val="00644259"/>
    <w:rsid w:val="00644BCB"/>
    <w:rsid w:val="00646040"/>
    <w:rsid w:val="006462D9"/>
    <w:rsid w:val="00646B8C"/>
    <w:rsid w:val="00652604"/>
    <w:rsid w:val="00652E99"/>
    <w:rsid w:val="00654A89"/>
    <w:rsid w:val="00654B21"/>
    <w:rsid w:val="00654C25"/>
    <w:rsid w:val="00654C75"/>
    <w:rsid w:val="00655EB6"/>
    <w:rsid w:val="006564BB"/>
    <w:rsid w:val="0065678E"/>
    <w:rsid w:val="006579AC"/>
    <w:rsid w:val="00660598"/>
    <w:rsid w:val="00661FF5"/>
    <w:rsid w:val="00663743"/>
    <w:rsid w:val="0066422F"/>
    <w:rsid w:val="00664743"/>
    <w:rsid w:val="006667F6"/>
    <w:rsid w:val="00670A96"/>
    <w:rsid w:val="00670FB3"/>
    <w:rsid w:val="00671155"/>
    <w:rsid w:val="0067289B"/>
    <w:rsid w:val="0067413A"/>
    <w:rsid w:val="00676EED"/>
    <w:rsid w:val="00677067"/>
    <w:rsid w:val="00677635"/>
    <w:rsid w:val="00681746"/>
    <w:rsid w:val="006824C9"/>
    <w:rsid w:val="00682717"/>
    <w:rsid w:val="0068290B"/>
    <w:rsid w:val="00683D78"/>
    <w:rsid w:val="006844E9"/>
    <w:rsid w:val="00684A49"/>
    <w:rsid w:val="0068548A"/>
    <w:rsid w:val="00685C63"/>
    <w:rsid w:val="00686F70"/>
    <w:rsid w:val="00691D33"/>
    <w:rsid w:val="00691F88"/>
    <w:rsid w:val="00694E87"/>
    <w:rsid w:val="00694F52"/>
    <w:rsid w:val="00694F85"/>
    <w:rsid w:val="0069515A"/>
    <w:rsid w:val="00695B1F"/>
    <w:rsid w:val="00696D1D"/>
    <w:rsid w:val="0069723C"/>
    <w:rsid w:val="006977FC"/>
    <w:rsid w:val="006A06A7"/>
    <w:rsid w:val="006A0BB7"/>
    <w:rsid w:val="006A3885"/>
    <w:rsid w:val="006A54B7"/>
    <w:rsid w:val="006A6751"/>
    <w:rsid w:val="006A76F0"/>
    <w:rsid w:val="006A7F45"/>
    <w:rsid w:val="006B15F7"/>
    <w:rsid w:val="006B2046"/>
    <w:rsid w:val="006B2BAB"/>
    <w:rsid w:val="006B2C7F"/>
    <w:rsid w:val="006B341A"/>
    <w:rsid w:val="006B5CAE"/>
    <w:rsid w:val="006B6A63"/>
    <w:rsid w:val="006B71C4"/>
    <w:rsid w:val="006B7D35"/>
    <w:rsid w:val="006C1B35"/>
    <w:rsid w:val="006C251F"/>
    <w:rsid w:val="006C63BC"/>
    <w:rsid w:val="006C766C"/>
    <w:rsid w:val="006C7D5B"/>
    <w:rsid w:val="006D2212"/>
    <w:rsid w:val="006D2D13"/>
    <w:rsid w:val="006D340E"/>
    <w:rsid w:val="006D7F6F"/>
    <w:rsid w:val="006E0256"/>
    <w:rsid w:val="006E1E41"/>
    <w:rsid w:val="006E20A8"/>
    <w:rsid w:val="006E24EE"/>
    <w:rsid w:val="006E367A"/>
    <w:rsid w:val="006E4449"/>
    <w:rsid w:val="006E4691"/>
    <w:rsid w:val="006E6052"/>
    <w:rsid w:val="006E63F1"/>
    <w:rsid w:val="006E7A2A"/>
    <w:rsid w:val="006F066C"/>
    <w:rsid w:val="006F06F8"/>
    <w:rsid w:val="006F1088"/>
    <w:rsid w:val="006F2A3D"/>
    <w:rsid w:val="006F2ED2"/>
    <w:rsid w:val="006F3D44"/>
    <w:rsid w:val="006F4013"/>
    <w:rsid w:val="006F5C5B"/>
    <w:rsid w:val="00700845"/>
    <w:rsid w:val="00704054"/>
    <w:rsid w:val="00706CEE"/>
    <w:rsid w:val="00707700"/>
    <w:rsid w:val="00710D81"/>
    <w:rsid w:val="00711932"/>
    <w:rsid w:val="007129A0"/>
    <w:rsid w:val="00712AAF"/>
    <w:rsid w:val="00714651"/>
    <w:rsid w:val="00717C68"/>
    <w:rsid w:val="00720F47"/>
    <w:rsid w:val="00721CA3"/>
    <w:rsid w:val="00723F5F"/>
    <w:rsid w:val="00725574"/>
    <w:rsid w:val="00726085"/>
    <w:rsid w:val="007263CB"/>
    <w:rsid w:val="00726EE6"/>
    <w:rsid w:val="0073027F"/>
    <w:rsid w:val="00730F11"/>
    <w:rsid w:val="0073339B"/>
    <w:rsid w:val="007362A7"/>
    <w:rsid w:val="00737F8E"/>
    <w:rsid w:val="0074078D"/>
    <w:rsid w:val="0074222D"/>
    <w:rsid w:val="00745591"/>
    <w:rsid w:val="00747C31"/>
    <w:rsid w:val="00751192"/>
    <w:rsid w:val="00751627"/>
    <w:rsid w:val="0075197C"/>
    <w:rsid w:val="00753138"/>
    <w:rsid w:val="00753551"/>
    <w:rsid w:val="0075360E"/>
    <w:rsid w:val="00753D25"/>
    <w:rsid w:val="007541BB"/>
    <w:rsid w:val="00756C3D"/>
    <w:rsid w:val="0075737F"/>
    <w:rsid w:val="0076055B"/>
    <w:rsid w:val="00761F1A"/>
    <w:rsid w:val="0076268D"/>
    <w:rsid w:val="0076319E"/>
    <w:rsid w:val="0076431B"/>
    <w:rsid w:val="0076542B"/>
    <w:rsid w:val="007654E5"/>
    <w:rsid w:val="007700EF"/>
    <w:rsid w:val="007706E0"/>
    <w:rsid w:val="007726A2"/>
    <w:rsid w:val="00772CE7"/>
    <w:rsid w:val="0077361D"/>
    <w:rsid w:val="00773EAF"/>
    <w:rsid w:val="007753BF"/>
    <w:rsid w:val="00776E67"/>
    <w:rsid w:val="00781BE4"/>
    <w:rsid w:val="00781D98"/>
    <w:rsid w:val="00782BD9"/>
    <w:rsid w:val="00783636"/>
    <w:rsid w:val="00786E94"/>
    <w:rsid w:val="007873FA"/>
    <w:rsid w:val="007907D7"/>
    <w:rsid w:val="00790817"/>
    <w:rsid w:val="0079445F"/>
    <w:rsid w:val="007A02F1"/>
    <w:rsid w:val="007A0763"/>
    <w:rsid w:val="007A1B6E"/>
    <w:rsid w:val="007A557D"/>
    <w:rsid w:val="007A6076"/>
    <w:rsid w:val="007A660D"/>
    <w:rsid w:val="007B00F9"/>
    <w:rsid w:val="007B0CBB"/>
    <w:rsid w:val="007B1A13"/>
    <w:rsid w:val="007B2C15"/>
    <w:rsid w:val="007B2CA1"/>
    <w:rsid w:val="007B4C39"/>
    <w:rsid w:val="007C1A9D"/>
    <w:rsid w:val="007C5F05"/>
    <w:rsid w:val="007C6576"/>
    <w:rsid w:val="007C6F37"/>
    <w:rsid w:val="007C725F"/>
    <w:rsid w:val="007C75BC"/>
    <w:rsid w:val="007D16EE"/>
    <w:rsid w:val="007D1BB4"/>
    <w:rsid w:val="007D2258"/>
    <w:rsid w:val="007D2BA8"/>
    <w:rsid w:val="007D3C56"/>
    <w:rsid w:val="007D47A3"/>
    <w:rsid w:val="007D6580"/>
    <w:rsid w:val="007D7DC2"/>
    <w:rsid w:val="007E08D3"/>
    <w:rsid w:val="007E1BA8"/>
    <w:rsid w:val="007E24F0"/>
    <w:rsid w:val="007E2CA5"/>
    <w:rsid w:val="007E2D3E"/>
    <w:rsid w:val="007E330C"/>
    <w:rsid w:val="007F25AB"/>
    <w:rsid w:val="007F4AAF"/>
    <w:rsid w:val="007F5A84"/>
    <w:rsid w:val="007F65F0"/>
    <w:rsid w:val="00800116"/>
    <w:rsid w:val="0080639D"/>
    <w:rsid w:val="00806988"/>
    <w:rsid w:val="00806B96"/>
    <w:rsid w:val="00806D0A"/>
    <w:rsid w:val="00810268"/>
    <w:rsid w:val="0081068D"/>
    <w:rsid w:val="00811EC2"/>
    <w:rsid w:val="00814766"/>
    <w:rsid w:val="00815432"/>
    <w:rsid w:val="0081577B"/>
    <w:rsid w:val="008164A7"/>
    <w:rsid w:val="00816F0F"/>
    <w:rsid w:val="00821D81"/>
    <w:rsid w:val="00823B76"/>
    <w:rsid w:val="00824430"/>
    <w:rsid w:val="0082465E"/>
    <w:rsid w:val="00824F5D"/>
    <w:rsid w:val="0082586E"/>
    <w:rsid w:val="00825ADE"/>
    <w:rsid w:val="00825EB3"/>
    <w:rsid w:val="0083040F"/>
    <w:rsid w:val="0083254B"/>
    <w:rsid w:val="00832759"/>
    <w:rsid w:val="00833CBD"/>
    <w:rsid w:val="00834929"/>
    <w:rsid w:val="0083560F"/>
    <w:rsid w:val="00835BF1"/>
    <w:rsid w:val="0083629E"/>
    <w:rsid w:val="00836F18"/>
    <w:rsid w:val="00843A07"/>
    <w:rsid w:val="00846C35"/>
    <w:rsid w:val="00853221"/>
    <w:rsid w:val="008535CF"/>
    <w:rsid w:val="008541E8"/>
    <w:rsid w:val="00854DA3"/>
    <w:rsid w:val="00856712"/>
    <w:rsid w:val="008605C0"/>
    <w:rsid w:val="008611CF"/>
    <w:rsid w:val="008622CA"/>
    <w:rsid w:val="00863B20"/>
    <w:rsid w:val="0086483C"/>
    <w:rsid w:val="00864E9B"/>
    <w:rsid w:val="008654F1"/>
    <w:rsid w:val="00865AB4"/>
    <w:rsid w:val="008670C0"/>
    <w:rsid w:val="0086757B"/>
    <w:rsid w:val="00867912"/>
    <w:rsid w:val="00870154"/>
    <w:rsid w:val="008710DD"/>
    <w:rsid w:val="00872B83"/>
    <w:rsid w:val="00875B96"/>
    <w:rsid w:val="00880366"/>
    <w:rsid w:val="00880487"/>
    <w:rsid w:val="00881493"/>
    <w:rsid w:val="0088195C"/>
    <w:rsid w:val="00881A91"/>
    <w:rsid w:val="00881B58"/>
    <w:rsid w:val="00881BBB"/>
    <w:rsid w:val="00881C41"/>
    <w:rsid w:val="00882174"/>
    <w:rsid w:val="00882E52"/>
    <w:rsid w:val="00883810"/>
    <w:rsid w:val="008851D9"/>
    <w:rsid w:val="00887414"/>
    <w:rsid w:val="008930DB"/>
    <w:rsid w:val="00893A23"/>
    <w:rsid w:val="00893CC6"/>
    <w:rsid w:val="00896E25"/>
    <w:rsid w:val="0089757F"/>
    <w:rsid w:val="008A16BB"/>
    <w:rsid w:val="008A2A6D"/>
    <w:rsid w:val="008A31D7"/>
    <w:rsid w:val="008A32E4"/>
    <w:rsid w:val="008A3A53"/>
    <w:rsid w:val="008A3D4D"/>
    <w:rsid w:val="008A5724"/>
    <w:rsid w:val="008A795C"/>
    <w:rsid w:val="008A7E21"/>
    <w:rsid w:val="008B0E79"/>
    <w:rsid w:val="008B29A1"/>
    <w:rsid w:val="008B29F0"/>
    <w:rsid w:val="008B551F"/>
    <w:rsid w:val="008B5546"/>
    <w:rsid w:val="008B590C"/>
    <w:rsid w:val="008B6387"/>
    <w:rsid w:val="008B7DAE"/>
    <w:rsid w:val="008C0B5E"/>
    <w:rsid w:val="008C125D"/>
    <w:rsid w:val="008C3595"/>
    <w:rsid w:val="008C4329"/>
    <w:rsid w:val="008C4E12"/>
    <w:rsid w:val="008C4ECC"/>
    <w:rsid w:val="008C5DDF"/>
    <w:rsid w:val="008C70B6"/>
    <w:rsid w:val="008C7338"/>
    <w:rsid w:val="008D01FE"/>
    <w:rsid w:val="008D0750"/>
    <w:rsid w:val="008D11D9"/>
    <w:rsid w:val="008D2DC5"/>
    <w:rsid w:val="008D44AE"/>
    <w:rsid w:val="008D5B3D"/>
    <w:rsid w:val="008E0EC9"/>
    <w:rsid w:val="008E21D2"/>
    <w:rsid w:val="008E2570"/>
    <w:rsid w:val="008E5462"/>
    <w:rsid w:val="008E64EC"/>
    <w:rsid w:val="008E7F4C"/>
    <w:rsid w:val="008F43BC"/>
    <w:rsid w:val="008F43BE"/>
    <w:rsid w:val="008F5A99"/>
    <w:rsid w:val="009004F5"/>
    <w:rsid w:val="00900CDB"/>
    <w:rsid w:val="0090174E"/>
    <w:rsid w:val="009041BC"/>
    <w:rsid w:val="0090496A"/>
    <w:rsid w:val="00904AE3"/>
    <w:rsid w:val="0090744C"/>
    <w:rsid w:val="00913754"/>
    <w:rsid w:val="00913A4B"/>
    <w:rsid w:val="009221C0"/>
    <w:rsid w:val="00923293"/>
    <w:rsid w:val="00925518"/>
    <w:rsid w:val="00927038"/>
    <w:rsid w:val="00930ACC"/>
    <w:rsid w:val="00930DA8"/>
    <w:rsid w:val="00931F05"/>
    <w:rsid w:val="009327EB"/>
    <w:rsid w:val="00932A7E"/>
    <w:rsid w:val="00933143"/>
    <w:rsid w:val="0093316C"/>
    <w:rsid w:val="00933CC1"/>
    <w:rsid w:val="009341A4"/>
    <w:rsid w:val="00934225"/>
    <w:rsid w:val="00936906"/>
    <w:rsid w:val="00936D97"/>
    <w:rsid w:val="00937FBE"/>
    <w:rsid w:val="00941283"/>
    <w:rsid w:val="00941888"/>
    <w:rsid w:val="009446D0"/>
    <w:rsid w:val="00945789"/>
    <w:rsid w:val="00947B45"/>
    <w:rsid w:val="0095015D"/>
    <w:rsid w:val="00950586"/>
    <w:rsid w:val="00950D51"/>
    <w:rsid w:val="00951943"/>
    <w:rsid w:val="009525DD"/>
    <w:rsid w:val="00952F78"/>
    <w:rsid w:val="00954525"/>
    <w:rsid w:val="00954541"/>
    <w:rsid w:val="00955CFF"/>
    <w:rsid w:val="009561CD"/>
    <w:rsid w:val="009566D7"/>
    <w:rsid w:val="00957B52"/>
    <w:rsid w:val="00957B91"/>
    <w:rsid w:val="00960749"/>
    <w:rsid w:val="0096136D"/>
    <w:rsid w:val="009621B6"/>
    <w:rsid w:val="00962E24"/>
    <w:rsid w:val="009640A0"/>
    <w:rsid w:val="00965362"/>
    <w:rsid w:val="009667B4"/>
    <w:rsid w:val="00966C6F"/>
    <w:rsid w:val="00967E3C"/>
    <w:rsid w:val="00971397"/>
    <w:rsid w:val="00971480"/>
    <w:rsid w:val="0097346A"/>
    <w:rsid w:val="00973CB4"/>
    <w:rsid w:val="0097593D"/>
    <w:rsid w:val="00977498"/>
    <w:rsid w:val="00981B2A"/>
    <w:rsid w:val="00982480"/>
    <w:rsid w:val="0098278E"/>
    <w:rsid w:val="009841B1"/>
    <w:rsid w:val="0098539F"/>
    <w:rsid w:val="00987A91"/>
    <w:rsid w:val="00991A96"/>
    <w:rsid w:val="00991E18"/>
    <w:rsid w:val="00994230"/>
    <w:rsid w:val="00994CF0"/>
    <w:rsid w:val="00995954"/>
    <w:rsid w:val="00997363"/>
    <w:rsid w:val="009A2C54"/>
    <w:rsid w:val="009A2DC8"/>
    <w:rsid w:val="009A3435"/>
    <w:rsid w:val="009A3AEC"/>
    <w:rsid w:val="009A4B0B"/>
    <w:rsid w:val="009A5707"/>
    <w:rsid w:val="009A6F95"/>
    <w:rsid w:val="009B25B6"/>
    <w:rsid w:val="009B3640"/>
    <w:rsid w:val="009B45E2"/>
    <w:rsid w:val="009B4F4F"/>
    <w:rsid w:val="009B6E88"/>
    <w:rsid w:val="009B7FD5"/>
    <w:rsid w:val="009C1AA0"/>
    <w:rsid w:val="009C42A0"/>
    <w:rsid w:val="009C45AA"/>
    <w:rsid w:val="009C4928"/>
    <w:rsid w:val="009C4D66"/>
    <w:rsid w:val="009D1548"/>
    <w:rsid w:val="009D1A87"/>
    <w:rsid w:val="009D2080"/>
    <w:rsid w:val="009D3F17"/>
    <w:rsid w:val="009D4E5A"/>
    <w:rsid w:val="009D526F"/>
    <w:rsid w:val="009D540B"/>
    <w:rsid w:val="009D5610"/>
    <w:rsid w:val="009D72DB"/>
    <w:rsid w:val="009E18E2"/>
    <w:rsid w:val="009E61E4"/>
    <w:rsid w:val="009E6EB7"/>
    <w:rsid w:val="009F0B79"/>
    <w:rsid w:val="009F3681"/>
    <w:rsid w:val="00A0057F"/>
    <w:rsid w:val="00A00F82"/>
    <w:rsid w:val="00A0139F"/>
    <w:rsid w:val="00A02495"/>
    <w:rsid w:val="00A03E0D"/>
    <w:rsid w:val="00A04682"/>
    <w:rsid w:val="00A05D10"/>
    <w:rsid w:val="00A05E43"/>
    <w:rsid w:val="00A060F1"/>
    <w:rsid w:val="00A07126"/>
    <w:rsid w:val="00A0790C"/>
    <w:rsid w:val="00A103D1"/>
    <w:rsid w:val="00A11B5B"/>
    <w:rsid w:val="00A12D03"/>
    <w:rsid w:val="00A15E6D"/>
    <w:rsid w:val="00A20689"/>
    <w:rsid w:val="00A20E34"/>
    <w:rsid w:val="00A23DE2"/>
    <w:rsid w:val="00A24A7C"/>
    <w:rsid w:val="00A252DE"/>
    <w:rsid w:val="00A255A2"/>
    <w:rsid w:val="00A3681E"/>
    <w:rsid w:val="00A40DEC"/>
    <w:rsid w:val="00A4192C"/>
    <w:rsid w:val="00A4315A"/>
    <w:rsid w:val="00A449C8"/>
    <w:rsid w:val="00A44F38"/>
    <w:rsid w:val="00A50988"/>
    <w:rsid w:val="00A53457"/>
    <w:rsid w:val="00A53A05"/>
    <w:rsid w:val="00A53B22"/>
    <w:rsid w:val="00A54311"/>
    <w:rsid w:val="00A563D6"/>
    <w:rsid w:val="00A56677"/>
    <w:rsid w:val="00A57E48"/>
    <w:rsid w:val="00A60461"/>
    <w:rsid w:val="00A60544"/>
    <w:rsid w:val="00A70DDD"/>
    <w:rsid w:val="00A727CC"/>
    <w:rsid w:val="00A72EAC"/>
    <w:rsid w:val="00A73071"/>
    <w:rsid w:val="00A75A49"/>
    <w:rsid w:val="00A76A1B"/>
    <w:rsid w:val="00A7756D"/>
    <w:rsid w:val="00A81B45"/>
    <w:rsid w:val="00A8343E"/>
    <w:rsid w:val="00A83933"/>
    <w:rsid w:val="00A83BF4"/>
    <w:rsid w:val="00A85A97"/>
    <w:rsid w:val="00A86AB6"/>
    <w:rsid w:val="00A92150"/>
    <w:rsid w:val="00A94E68"/>
    <w:rsid w:val="00A97A3A"/>
    <w:rsid w:val="00AA0259"/>
    <w:rsid w:val="00AA05D8"/>
    <w:rsid w:val="00AA375B"/>
    <w:rsid w:val="00AA3C19"/>
    <w:rsid w:val="00AA4C86"/>
    <w:rsid w:val="00AA5055"/>
    <w:rsid w:val="00AB1031"/>
    <w:rsid w:val="00AB1EC4"/>
    <w:rsid w:val="00AB3DC2"/>
    <w:rsid w:val="00AB44D4"/>
    <w:rsid w:val="00AB4F12"/>
    <w:rsid w:val="00AB60D9"/>
    <w:rsid w:val="00AB6447"/>
    <w:rsid w:val="00AB72FB"/>
    <w:rsid w:val="00AB79D0"/>
    <w:rsid w:val="00AD0BA7"/>
    <w:rsid w:val="00AD1832"/>
    <w:rsid w:val="00AD243B"/>
    <w:rsid w:val="00AD413F"/>
    <w:rsid w:val="00AD47B0"/>
    <w:rsid w:val="00AD581B"/>
    <w:rsid w:val="00AD5DEA"/>
    <w:rsid w:val="00AD6CBC"/>
    <w:rsid w:val="00AD720D"/>
    <w:rsid w:val="00AD72D6"/>
    <w:rsid w:val="00AD7ACB"/>
    <w:rsid w:val="00AE0510"/>
    <w:rsid w:val="00AE056B"/>
    <w:rsid w:val="00AE24B3"/>
    <w:rsid w:val="00AE3463"/>
    <w:rsid w:val="00AE3842"/>
    <w:rsid w:val="00AE525E"/>
    <w:rsid w:val="00AE5314"/>
    <w:rsid w:val="00AE79CC"/>
    <w:rsid w:val="00AE7AD1"/>
    <w:rsid w:val="00AF0215"/>
    <w:rsid w:val="00AF0A51"/>
    <w:rsid w:val="00AF2C08"/>
    <w:rsid w:val="00AF3AED"/>
    <w:rsid w:val="00AF42F6"/>
    <w:rsid w:val="00AF5B27"/>
    <w:rsid w:val="00AF61B6"/>
    <w:rsid w:val="00AF6540"/>
    <w:rsid w:val="00AF7A27"/>
    <w:rsid w:val="00B04968"/>
    <w:rsid w:val="00B05705"/>
    <w:rsid w:val="00B06726"/>
    <w:rsid w:val="00B06AC0"/>
    <w:rsid w:val="00B071FA"/>
    <w:rsid w:val="00B071FE"/>
    <w:rsid w:val="00B07851"/>
    <w:rsid w:val="00B10F5E"/>
    <w:rsid w:val="00B12350"/>
    <w:rsid w:val="00B1264E"/>
    <w:rsid w:val="00B13045"/>
    <w:rsid w:val="00B15059"/>
    <w:rsid w:val="00B15799"/>
    <w:rsid w:val="00B166B5"/>
    <w:rsid w:val="00B16D58"/>
    <w:rsid w:val="00B176B3"/>
    <w:rsid w:val="00B20B99"/>
    <w:rsid w:val="00B215EF"/>
    <w:rsid w:val="00B30A22"/>
    <w:rsid w:val="00B30EF8"/>
    <w:rsid w:val="00B3443D"/>
    <w:rsid w:val="00B4092E"/>
    <w:rsid w:val="00B422C9"/>
    <w:rsid w:val="00B42A8D"/>
    <w:rsid w:val="00B42B7E"/>
    <w:rsid w:val="00B42C51"/>
    <w:rsid w:val="00B51AB7"/>
    <w:rsid w:val="00B533FD"/>
    <w:rsid w:val="00B5484D"/>
    <w:rsid w:val="00B56253"/>
    <w:rsid w:val="00B57698"/>
    <w:rsid w:val="00B61EA8"/>
    <w:rsid w:val="00B647FE"/>
    <w:rsid w:val="00B64971"/>
    <w:rsid w:val="00B65E48"/>
    <w:rsid w:val="00B6724C"/>
    <w:rsid w:val="00B71D27"/>
    <w:rsid w:val="00B72F22"/>
    <w:rsid w:val="00B73B14"/>
    <w:rsid w:val="00B74680"/>
    <w:rsid w:val="00B74D60"/>
    <w:rsid w:val="00B7626B"/>
    <w:rsid w:val="00B77D88"/>
    <w:rsid w:val="00B81BF0"/>
    <w:rsid w:val="00B8249C"/>
    <w:rsid w:val="00B85317"/>
    <w:rsid w:val="00B879AE"/>
    <w:rsid w:val="00B92692"/>
    <w:rsid w:val="00B9578C"/>
    <w:rsid w:val="00B96DD6"/>
    <w:rsid w:val="00B97233"/>
    <w:rsid w:val="00BA0D92"/>
    <w:rsid w:val="00BA36A6"/>
    <w:rsid w:val="00BA41C5"/>
    <w:rsid w:val="00BA5820"/>
    <w:rsid w:val="00BA73AD"/>
    <w:rsid w:val="00BB0869"/>
    <w:rsid w:val="00BB13ED"/>
    <w:rsid w:val="00BB2C6B"/>
    <w:rsid w:val="00BB5E02"/>
    <w:rsid w:val="00BC0013"/>
    <w:rsid w:val="00BC17C9"/>
    <w:rsid w:val="00BC2768"/>
    <w:rsid w:val="00BC4980"/>
    <w:rsid w:val="00BC603F"/>
    <w:rsid w:val="00BC752B"/>
    <w:rsid w:val="00BD078D"/>
    <w:rsid w:val="00BD0983"/>
    <w:rsid w:val="00BD0CB0"/>
    <w:rsid w:val="00BD1FE8"/>
    <w:rsid w:val="00BD25B0"/>
    <w:rsid w:val="00BD26EA"/>
    <w:rsid w:val="00BD3FB5"/>
    <w:rsid w:val="00BD7C81"/>
    <w:rsid w:val="00BD7E74"/>
    <w:rsid w:val="00BD7F15"/>
    <w:rsid w:val="00BE11DD"/>
    <w:rsid w:val="00BE1782"/>
    <w:rsid w:val="00BE3898"/>
    <w:rsid w:val="00BE4CE8"/>
    <w:rsid w:val="00BE6846"/>
    <w:rsid w:val="00BE6D48"/>
    <w:rsid w:val="00BF0B15"/>
    <w:rsid w:val="00BF10DD"/>
    <w:rsid w:val="00BF11FA"/>
    <w:rsid w:val="00BF366B"/>
    <w:rsid w:val="00BF37E3"/>
    <w:rsid w:val="00BF3B29"/>
    <w:rsid w:val="00BF56CD"/>
    <w:rsid w:val="00BF6485"/>
    <w:rsid w:val="00BF7987"/>
    <w:rsid w:val="00BF7F96"/>
    <w:rsid w:val="00C01A67"/>
    <w:rsid w:val="00C01EAC"/>
    <w:rsid w:val="00C02040"/>
    <w:rsid w:val="00C03F6B"/>
    <w:rsid w:val="00C05308"/>
    <w:rsid w:val="00C10EC1"/>
    <w:rsid w:val="00C114CD"/>
    <w:rsid w:val="00C122A8"/>
    <w:rsid w:val="00C20C87"/>
    <w:rsid w:val="00C20E11"/>
    <w:rsid w:val="00C21169"/>
    <w:rsid w:val="00C21544"/>
    <w:rsid w:val="00C2159D"/>
    <w:rsid w:val="00C215FB"/>
    <w:rsid w:val="00C22323"/>
    <w:rsid w:val="00C226AF"/>
    <w:rsid w:val="00C237F5"/>
    <w:rsid w:val="00C23C8D"/>
    <w:rsid w:val="00C26026"/>
    <w:rsid w:val="00C317D1"/>
    <w:rsid w:val="00C31D3B"/>
    <w:rsid w:val="00C322FB"/>
    <w:rsid w:val="00C334E0"/>
    <w:rsid w:val="00C33BA8"/>
    <w:rsid w:val="00C33CD3"/>
    <w:rsid w:val="00C35290"/>
    <w:rsid w:val="00C3678E"/>
    <w:rsid w:val="00C37C13"/>
    <w:rsid w:val="00C40292"/>
    <w:rsid w:val="00C403AF"/>
    <w:rsid w:val="00C40A03"/>
    <w:rsid w:val="00C41201"/>
    <w:rsid w:val="00C41690"/>
    <w:rsid w:val="00C41B90"/>
    <w:rsid w:val="00C442C1"/>
    <w:rsid w:val="00C46C1B"/>
    <w:rsid w:val="00C4779F"/>
    <w:rsid w:val="00C503EA"/>
    <w:rsid w:val="00C526B3"/>
    <w:rsid w:val="00C53F5C"/>
    <w:rsid w:val="00C54F85"/>
    <w:rsid w:val="00C55ADD"/>
    <w:rsid w:val="00C5703A"/>
    <w:rsid w:val="00C60761"/>
    <w:rsid w:val="00C60E38"/>
    <w:rsid w:val="00C61AB3"/>
    <w:rsid w:val="00C61AEB"/>
    <w:rsid w:val="00C61C7D"/>
    <w:rsid w:val="00C63629"/>
    <w:rsid w:val="00C63C61"/>
    <w:rsid w:val="00C644D5"/>
    <w:rsid w:val="00C64717"/>
    <w:rsid w:val="00C65ECD"/>
    <w:rsid w:val="00C65FCC"/>
    <w:rsid w:val="00C725BD"/>
    <w:rsid w:val="00C729C8"/>
    <w:rsid w:val="00C72D4B"/>
    <w:rsid w:val="00C73090"/>
    <w:rsid w:val="00C73E47"/>
    <w:rsid w:val="00C80026"/>
    <w:rsid w:val="00C821AB"/>
    <w:rsid w:val="00C82DF2"/>
    <w:rsid w:val="00C847D9"/>
    <w:rsid w:val="00C852F2"/>
    <w:rsid w:val="00C85391"/>
    <w:rsid w:val="00C86202"/>
    <w:rsid w:val="00C86270"/>
    <w:rsid w:val="00C87873"/>
    <w:rsid w:val="00C90FC3"/>
    <w:rsid w:val="00C922E5"/>
    <w:rsid w:val="00C93592"/>
    <w:rsid w:val="00C9376A"/>
    <w:rsid w:val="00C94303"/>
    <w:rsid w:val="00C94819"/>
    <w:rsid w:val="00C96566"/>
    <w:rsid w:val="00C97AF5"/>
    <w:rsid w:val="00CA1141"/>
    <w:rsid w:val="00CA46C6"/>
    <w:rsid w:val="00CA6588"/>
    <w:rsid w:val="00CB0A58"/>
    <w:rsid w:val="00CB0D95"/>
    <w:rsid w:val="00CB1296"/>
    <w:rsid w:val="00CB176B"/>
    <w:rsid w:val="00CB18F5"/>
    <w:rsid w:val="00CB22DB"/>
    <w:rsid w:val="00CB3F98"/>
    <w:rsid w:val="00CB4B9D"/>
    <w:rsid w:val="00CB6B13"/>
    <w:rsid w:val="00CC1301"/>
    <w:rsid w:val="00CC2186"/>
    <w:rsid w:val="00CC2E68"/>
    <w:rsid w:val="00CC363E"/>
    <w:rsid w:val="00CC39CC"/>
    <w:rsid w:val="00CC583F"/>
    <w:rsid w:val="00CD00CD"/>
    <w:rsid w:val="00CD0911"/>
    <w:rsid w:val="00CD2CE7"/>
    <w:rsid w:val="00CD6297"/>
    <w:rsid w:val="00CE092B"/>
    <w:rsid w:val="00CE0CBF"/>
    <w:rsid w:val="00CE22EF"/>
    <w:rsid w:val="00CE26C4"/>
    <w:rsid w:val="00CE30A4"/>
    <w:rsid w:val="00CE5809"/>
    <w:rsid w:val="00CF0775"/>
    <w:rsid w:val="00CF1B3D"/>
    <w:rsid w:val="00CF2414"/>
    <w:rsid w:val="00CF3342"/>
    <w:rsid w:val="00CF41A5"/>
    <w:rsid w:val="00CF4922"/>
    <w:rsid w:val="00CF646B"/>
    <w:rsid w:val="00CF7BC4"/>
    <w:rsid w:val="00D01FB9"/>
    <w:rsid w:val="00D03BE8"/>
    <w:rsid w:val="00D04AC4"/>
    <w:rsid w:val="00D06BB3"/>
    <w:rsid w:val="00D06F82"/>
    <w:rsid w:val="00D07C44"/>
    <w:rsid w:val="00D10B22"/>
    <w:rsid w:val="00D1425E"/>
    <w:rsid w:val="00D142DD"/>
    <w:rsid w:val="00D144E0"/>
    <w:rsid w:val="00D149F4"/>
    <w:rsid w:val="00D14E9A"/>
    <w:rsid w:val="00D1519C"/>
    <w:rsid w:val="00D15C11"/>
    <w:rsid w:val="00D16A07"/>
    <w:rsid w:val="00D16B49"/>
    <w:rsid w:val="00D17886"/>
    <w:rsid w:val="00D202C3"/>
    <w:rsid w:val="00D227CD"/>
    <w:rsid w:val="00D23D31"/>
    <w:rsid w:val="00D242F7"/>
    <w:rsid w:val="00D30309"/>
    <w:rsid w:val="00D309DF"/>
    <w:rsid w:val="00D30E2F"/>
    <w:rsid w:val="00D34CD2"/>
    <w:rsid w:val="00D357D2"/>
    <w:rsid w:val="00D36580"/>
    <w:rsid w:val="00D37660"/>
    <w:rsid w:val="00D40444"/>
    <w:rsid w:val="00D42534"/>
    <w:rsid w:val="00D4391E"/>
    <w:rsid w:val="00D46307"/>
    <w:rsid w:val="00D50053"/>
    <w:rsid w:val="00D535DC"/>
    <w:rsid w:val="00D602D4"/>
    <w:rsid w:val="00D60859"/>
    <w:rsid w:val="00D619E7"/>
    <w:rsid w:val="00D628CD"/>
    <w:rsid w:val="00D64820"/>
    <w:rsid w:val="00D658A5"/>
    <w:rsid w:val="00D67B93"/>
    <w:rsid w:val="00D67E42"/>
    <w:rsid w:val="00D72548"/>
    <w:rsid w:val="00D72BB8"/>
    <w:rsid w:val="00D73304"/>
    <w:rsid w:val="00D74A6D"/>
    <w:rsid w:val="00D75AC9"/>
    <w:rsid w:val="00D76888"/>
    <w:rsid w:val="00D80AE8"/>
    <w:rsid w:val="00D828C8"/>
    <w:rsid w:val="00D84088"/>
    <w:rsid w:val="00D85A40"/>
    <w:rsid w:val="00D86D3B"/>
    <w:rsid w:val="00D900E4"/>
    <w:rsid w:val="00D924BD"/>
    <w:rsid w:val="00D92EBA"/>
    <w:rsid w:val="00D9519E"/>
    <w:rsid w:val="00D95A91"/>
    <w:rsid w:val="00D95B43"/>
    <w:rsid w:val="00DA056D"/>
    <w:rsid w:val="00DA2B13"/>
    <w:rsid w:val="00DA323E"/>
    <w:rsid w:val="00DA3826"/>
    <w:rsid w:val="00DA3E11"/>
    <w:rsid w:val="00DA3E59"/>
    <w:rsid w:val="00DA3F42"/>
    <w:rsid w:val="00DA4AA6"/>
    <w:rsid w:val="00DA5CDA"/>
    <w:rsid w:val="00DA5D33"/>
    <w:rsid w:val="00DA61DE"/>
    <w:rsid w:val="00DA74C8"/>
    <w:rsid w:val="00DA7DA9"/>
    <w:rsid w:val="00DB0D41"/>
    <w:rsid w:val="00DB13DA"/>
    <w:rsid w:val="00DB171E"/>
    <w:rsid w:val="00DB27E8"/>
    <w:rsid w:val="00DB2E6C"/>
    <w:rsid w:val="00DB3F79"/>
    <w:rsid w:val="00DB4C39"/>
    <w:rsid w:val="00DB7F1E"/>
    <w:rsid w:val="00DC03F7"/>
    <w:rsid w:val="00DC6801"/>
    <w:rsid w:val="00DC6C76"/>
    <w:rsid w:val="00DD0E00"/>
    <w:rsid w:val="00DD3322"/>
    <w:rsid w:val="00DD350B"/>
    <w:rsid w:val="00DD4264"/>
    <w:rsid w:val="00DD4A19"/>
    <w:rsid w:val="00DD4DE0"/>
    <w:rsid w:val="00DD5553"/>
    <w:rsid w:val="00DD5A37"/>
    <w:rsid w:val="00DE001E"/>
    <w:rsid w:val="00DE1AC0"/>
    <w:rsid w:val="00DE26C8"/>
    <w:rsid w:val="00DE3434"/>
    <w:rsid w:val="00DE5E00"/>
    <w:rsid w:val="00DE5FCD"/>
    <w:rsid w:val="00DE71D1"/>
    <w:rsid w:val="00DE7F6B"/>
    <w:rsid w:val="00DF210A"/>
    <w:rsid w:val="00DF4790"/>
    <w:rsid w:val="00DF7BDD"/>
    <w:rsid w:val="00DF7CD2"/>
    <w:rsid w:val="00E01BE8"/>
    <w:rsid w:val="00E05B8A"/>
    <w:rsid w:val="00E0627B"/>
    <w:rsid w:val="00E06294"/>
    <w:rsid w:val="00E1045E"/>
    <w:rsid w:val="00E11DA6"/>
    <w:rsid w:val="00E17662"/>
    <w:rsid w:val="00E20136"/>
    <w:rsid w:val="00E20B20"/>
    <w:rsid w:val="00E2543E"/>
    <w:rsid w:val="00E2568E"/>
    <w:rsid w:val="00E313E7"/>
    <w:rsid w:val="00E3170E"/>
    <w:rsid w:val="00E32DE1"/>
    <w:rsid w:val="00E34956"/>
    <w:rsid w:val="00E35398"/>
    <w:rsid w:val="00E369F8"/>
    <w:rsid w:val="00E36C5E"/>
    <w:rsid w:val="00E377D8"/>
    <w:rsid w:val="00E40EB5"/>
    <w:rsid w:val="00E423D5"/>
    <w:rsid w:val="00E4407D"/>
    <w:rsid w:val="00E44325"/>
    <w:rsid w:val="00E45F09"/>
    <w:rsid w:val="00E46379"/>
    <w:rsid w:val="00E46D9A"/>
    <w:rsid w:val="00E47037"/>
    <w:rsid w:val="00E47A48"/>
    <w:rsid w:val="00E47FF4"/>
    <w:rsid w:val="00E50137"/>
    <w:rsid w:val="00E51030"/>
    <w:rsid w:val="00E5180C"/>
    <w:rsid w:val="00E51925"/>
    <w:rsid w:val="00E52ECF"/>
    <w:rsid w:val="00E53C81"/>
    <w:rsid w:val="00E53F46"/>
    <w:rsid w:val="00E54361"/>
    <w:rsid w:val="00E5490C"/>
    <w:rsid w:val="00E60149"/>
    <w:rsid w:val="00E64957"/>
    <w:rsid w:val="00E64A60"/>
    <w:rsid w:val="00E6501C"/>
    <w:rsid w:val="00E65D8A"/>
    <w:rsid w:val="00E66411"/>
    <w:rsid w:val="00E70FD2"/>
    <w:rsid w:val="00E725D4"/>
    <w:rsid w:val="00E7281C"/>
    <w:rsid w:val="00E72A8D"/>
    <w:rsid w:val="00E732B3"/>
    <w:rsid w:val="00E73F1F"/>
    <w:rsid w:val="00E749E7"/>
    <w:rsid w:val="00E74FFC"/>
    <w:rsid w:val="00E75DFF"/>
    <w:rsid w:val="00E76C87"/>
    <w:rsid w:val="00E76FE4"/>
    <w:rsid w:val="00E77719"/>
    <w:rsid w:val="00E8025C"/>
    <w:rsid w:val="00E802A8"/>
    <w:rsid w:val="00E8032D"/>
    <w:rsid w:val="00E803FD"/>
    <w:rsid w:val="00E806DD"/>
    <w:rsid w:val="00E83F43"/>
    <w:rsid w:val="00E8448F"/>
    <w:rsid w:val="00E8467F"/>
    <w:rsid w:val="00E85B7B"/>
    <w:rsid w:val="00E873D8"/>
    <w:rsid w:val="00E875CE"/>
    <w:rsid w:val="00E87B8E"/>
    <w:rsid w:val="00E91252"/>
    <w:rsid w:val="00E95022"/>
    <w:rsid w:val="00E973B5"/>
    <w:rsid w:val="00EA18EF"/>
    <w:rsid w:val="00EA1C94"/>
    <w:rsid w:val="00EA1CD8"/>
    <w:rsid w:val="00EA29FC"/>
    <w:rsid w:val="00EA2BC6"/>
    <w:rsid w:val="00EA3001"/>
    <w:rsid w:val="00EA43E6"/>
    <w:rsid w:val="00EA48C8"/>
    <w:rsid w:val="00EA5093"/>
    <w:rsid w:val="00EA5A29"/>
    <w:rsid w:val="00EA5DC2"/>
    <w:rsid w:val="00EB1905"/>
    <w:rsid w:val="00EB2524"/>
    <w:rsid w:val="00EB48AF"/>
    <w:rsid w:val="00EB5E7E"/>
    <w:rsid w:val="00EB74BD"/>
    <w:rsid w:val="00EC0B4C"/>
    <w:rsid w:val="00EC0BE8"/>
    <w:rsid w:val="00EC18BA"/>
    <w:rsid w:val="00EC1A8B"/>
    <w:rsid w:val="00EC28E1"/>
    <w:rsid w:val="00EC2D6D"/>
    <w:rsid w:val="00EC353A"/>
    <w:rsid w:val="00EC4C4A"/>
    <w:rsid w:val="00EC544E"/>
    <w:rsid w:val="00ED0C24"/>
    <w:rsid w:val="00ED193D"/>
    <w:rsid w:val="00ED2127"/>
    <w:rsid w:val="00ED2B72"/>
    <w:rsid w:val="00ED31C8"/>
    <w:rsid w:val="00ED3A8C"/>
    <w:rsid w:val="00ED56C4"/>
    <w:rsid w:val="00ED5CF2"/>
    <w:rsid w:val="00ED5DD2"/>
    <w:rsid w:val="00EE0FF6"/>
    <w:rsid w:val="00EE12D5"/>
    <w:rsid w:val="00EE2C0C"/>
    <w:rsid w:val="00EE4DC9"/>
    <w:rsid w:val="00EE60E0"/>
    <w:rsid w:val="00EE7DA0"/>
    <w:rsid w:val="00EF09B9"/>
    <w:rsid w:val="00EF0B02"/>
    <w:rsid w:val="00EF2041"/>
    <w:rsid w:val="00EF3776"/>
    <w:rsid w:val="00F00211"/>
    <w:rsid w:val="00F00DDC"/>
    <w:rsid w:val="00F060D4"/>
    <w:rsid w:val="00F06D2F"/>
    <w:rsid w:val="00F10576"/>
    <w:rsid w:val="00F111B3"/>
    <w:rsid w:val="00F11AAF"/>
    <w:rsid w:val="00F12287"/>
    <w:rsid w:val="00F13B7B"/>
    <w:rsid w:val="00F14763"/>
    <w:rsid w:val="00F14836"/>
    <w:rsid w:val="00F1592E"/>
    <w:rsid w:val="00F15FBE"/>
    <w:rsid w:val="00F20759"/>
    <w:rsid w:val="00F22FAF"/>
    <w:rsid w:val="00F2316C"/>
    <w:rsid w:val="00F272E9"/>
    <w:rsid w:val="00F273E1"/>
    <w:rsid w:val="00F2797E"/>
    <w:rsid w:val="00F300AF"/>
    <w:rsid w:val="00F30309"/>
    <w:rsid w:val="00F307BC"/>
    <w:rsid w:val="00F323D8"/>
    <w:rsid w:val="00F3436A"/>
    <w:rsid w:val="00F348A5"/>
    <w:rsid w:val="00F35517"/>
    <w:rsid w:val="00F3574E"/>
    <w:rsid w:val="00F37D28"/>
    <w:rsid w:val="00F41661"/>
    <w:rsid w:val="00F42E27"/>
    <w:rsid w:val="00F47C31"/>
    <w:rsid w:val="00F5019E"/>
    <w:rsid w:val="00F504D4"/>
    <w:rsid w:val="00F5050E"/>
    <w:rsid w:val="00F50892"/>
    <w:rsid w:val="00F52385"/>
    <w:rsid w:val="00F547F0"/>
    <w:rsid w:val="00F55497"/>
    <w:rsid w:val="00F564F4"/>
    <w:rsid w:val="00F56CD8"/>
    <w:rsid w:val="00F609DC"/>
    <w:rsid w:val="00F60F25"/>
    <w:rsid w:val="00F61018"/>
    <w:rsid w:val="00F62128"/>
    <w:rsid w:val="00F63FA1"/>
    <w:rsid w:val="00F653E6"/>
    <w:rsid w:val="00F67DC0"/>
    <w:rsid w:val="00F71E91"/>
    <w:rsid w:val="00F75AF8"/>
    <w:rsid w:val="00F75F1D"/>
    <w:rsid w:val="00F76162"/>
    <w:rsid w:val="00F77E48"/>
    <w:rsid w:val="00F801D2"/>
    <w:rsid w:val="00F80B18"/>
    <w:rsid w:val="00F80BD1"/>
    <w:rsid w:val="00F8143B"/>
    <w:rsid w:val="00F8179B"/>
    <w:rsid w:val="00F82508"/>
    <w:rsid w:val="00F82635"/>
    <w:rsid w:val="00F8318F"/>
    <w:rsid w:val="00F83615"/>
    <w:rsid w:val="00F841BC"/>
    <w:rsid w:val="00F84442"/>
    <w:rsid w:val="00F862C1"/>
    <w:rsid w:val="00F873B2"/>
    <w:rsid w:val="00F9242B"/>
    <w:rsid w:val="00F92D8F"/>
    <w:rsid w:val="00F94C8C"/>
    <w:rsid w:val="00F9556E"/>
    <w:rsid w:val="00F9569F"/>
    <w:rsid w:val="00F961C3"/>
    <w:rsid w:val="00F96616"/>
    <w:rsid w:val="00F96943"/>
    <w:rsid w:val="00FA07E2"/>
    <w:rsid w:val="00FA0A31"/>
    <w:rsid w:val="00FA1B49"/>
    <w:rsid w:val="00FA257B"/>
    <w:rsid w:val="00FA3613"/>
    <w:rsid w:val="00FA56EF"/>
    <w:rsid w:val="00FA61AF"/>
    <w:rsid w:val="00FB0F97"/>
    <w:rsid w:val="00FB1308"/>
    <w:rsid w:val="00FB355B"/>
    <w:rsid w:val="00FB4106"/>
    <w:rsid w:val="00FB5A62"/>
    <w:rsid w:val="00FB5CA3"/>
    <w:rsid w:val="00FB5E55"/>
    <w:rsid w:val="00FB6CC4"/>
    <w:rsid w:val="00FB73BD"/>
    <w:rsid w:val="00FC1A59"/>
    <w:rsid w:val="00FC2C21"/>
    <w:rsid w:val="00FC5624"/>
    <w:rsid w:val="00FC67D1"/>
    <w:rsid w:val="00FD09F7"/>
    <w:rsid w:val="00FD0AD5"/>
    <w:rsid w:val="00FD15B4"/>
    <w:rsid w:val="00FD1E4F"/>
    <w:rsid w:val="00FD2941"/>
    <w:rsid w:val="00FD5334"/>
    <w:rsid w:val="00FD6BCD"/>
    <w:rsid w:val="00FD6DCD"/>
    <w:rsid w:val="00FD74EE"/>
    <w:rsid w:val="00FD753B"/>
    <w:rsid w:val="00FD7B26"/>
    <w:rsid w:val="00FE0384"/>
    <w:rsid w:val="00FE082C"/>
    <w:rsid w:val="00FE1095"/>
    <w:rsid w:val="00FE3C17"/>
    <w:rsid w:val="00FE4233"/>
    <w:rsid w:val="00FE477F"/>
    <w:rsid w:val="00FE5531"/>
    <w:rsid w:val="00FF1498"/>
    <w:rsid w:val="00FF1DE0"/>
    <w:rsid w:val="00FF2662"/>
    <w:rsid w:val="00FF3B88"/>
    <w:rsid w:val="00FF489E"/>
    <w:rsid w:val="00FF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1ABEB"/>
  <w15:docId w15:val="{474F60B6-B5FD-458C-9649-294229C9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754"/>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5243F"/>
    <w:pPr>
      <w:framePr w:w="7920" w:h="1980" w:hRule="exact" w:hSpace="180" w:wrap="auto" w:hAnchor="page" w:xAlign="center" w:yAlign="bottom"/>
      <w:ind w:left="2880"/>
    </w:pPr>
    <w:rPr>
      <w:rFonts w:ascii="Arial" w:eastAsiaTheme="majorEastAsia" w:hAnsi="Arial" w:cstheme="majorBidi"/>
      <w:sz w:val="24"/>
      <w:szCs w:val="24"/>
    </w:rPr>
  </w:style>
  <w:style w:type="paragraph" w:styleId="Title">
    <w:name w:val="Title"/>
    <w:basedOn w:val="Normal"/>
    <w:link w:val="TitleChar"/>
    <w:qFormat/>
    <w:rsid w:val="00913754"/>
    <w:pPr>
      <w:jc w:val="center"/>
    </w:pPr>
    <w:rPr>
      <w:b/>
    </w:rPr>
  </w:style>
  <w:style w:type="character" w:customStyle="1" w:styleId="TitleChar">
    <w:name w:val="Title Char"/>
    <w:basedOn w:val="DefaultParagraphFont"/>
    <w:link w:val="Title"/>
    <w:rsid w:val="00913754"/>
    <w:rPr>
      <w:rFonts w:ascii="Times New Roman" w:eastAsia="Times New Roman" w:hAnsi="Times New Roman" w:cs="Times New Roman"/>
      <w:b/>
      <w:szCs w:val="20"/>
    </w:rPr>
  </w:style>
  <w:style w:type="paragraph" w:customStyle="1" w:styleId="Default">
    <w:name w:val="Default"/>
    <w:rsid w:val="00EB2524"/>
    <w:pPr>
      <w:autoSpaceDE w:val="0"/>
      <w:autoSpaceDN w:val="0"/>
      <w:adjustRightInd w:val="0"/>
    </w:pPr>
    <w:rPr>
      <w:rFonts w:ascii="Verdana" w:hAnsi="Verdana" w:cs="Verdana"/>
      <w:color w:val="000000"/>
      <w:sz w:val="24"/>
      <w:szCs w:val="24"/>
    </w:rPr>
  </w:style>
  <w:style w:type="paragraph" w:styleId="ListParagraph">
    <w:name w:val="List Paragraph"/>
    <w:basedOn w:val="Normal"/>
    <w:qFormat/>
    <w:rsid w:val="00810268"/>
    <w:pPr>
      <w:ind w:left="720"/>
      <w:contextualSpacing/>
    </w:pPr>
  </w:style>
  <w:style w:type="paragraph" w:styleId="NoSpacing">
    <w:name w:val="No Spacing"/>
    <w:link w:val="NoSpacingChar"/>
    <w:uiPriority w:val="1"/>
    <w:qFormat/>
    <w:rsid w:val="00644BCB"/>
  </w:style>
  <w:style w:type="paragraph" w:styleId="Header">
    <w:name w:val="header"/>
    <w:basedOn w:val="Normal"/>
    <w:link w:val="HeaderChar"/>
    <w:uiPriority w:val="99"/>
    <w:unhideWhenUsed/>
    <w:rsid w:val="00ED193D"/>
    <w:pPr>
      <w:tabs>
        <w:tab w:val="center" w:pos="4680"/>
        <w:tab w:val="right" w:pos="9360"/>
      </w:tabs>
    </w:pPr>
  </w:style>
  <w:style w:type="character" w:customStyle="1" w:styleId="HeaderChar">
    <w:name w:val="Header Char"/>
    <w:basedOn w:val="DefaultParagraphFont"/>
    <w:link w:val="Header"/>
    <w:uiPriority w:val="99"/>
    <w:rsid w:val="00ED193D"/>
    <w:rPr>
      <w:rFonts w:ascii="Times New Roman" w:eastAsia="Times New Roman" w:hAnsi="Times New Roman" w:cs="Times New Roman"/>
      <w:szCs w:val="20"/>
    </w:rPr>
  </w:style>
  <w:style w:type="paragraph" w:styleId="Footer">
    <w:name w:val="footer"/>
    <w:basedOn w:val="Normal"/>
    <w:link w:val="FooterChar"/>
    <w:uiPriority w:val="99"/>
    <w:unhideWhenUsed/>
    <w:rsid w:val="00ED193D"/>
    <w:pPr>
      <w:tabs>
        <w:tab w:val="center" w:pos="4680"/>
        <w:tab w:val="right" w:pos="9360"/>
      </w:tabs>
    </w:pPr>
  </w:style>
  <w:style w:type="character" w:customStyle="1" w:styleId="FooterChar">
    <w:name w:val="Footer Char"/>
    <w:basedOn w:val="DefaultParagraphFont"/>
    <w:link w:val="Footer"/>
    <w:uiPriority w:val="99"/>
    <w:rsid w:val="00ED193D"/>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D193D"/>
    <w:rPr>
      <w:rFonts w:ascii="Tahoma" w:hAnsi="Tahoma" w:cs="Tahoma"/>
      <w:sz w:val="16"/>
      <w:szCs w:val="16"/>
    </w:rPr>
  </w:style>
  <w:style w:type="character" w:customStyle="1" w:styleId="BalloonTextChar">
    <w:name w:val="Balloon Text Char"/>
    <w:basedOn w:val="DefaultParagraphFont"/>
    <w:link w:val="BalloonText"/>
    <w:uiPriority w:val="99"/>
    <w:semiHidden/>
    <w:rsid w:val="00ED193D"/>
    <w:rPr>
      <w:rFonts w:ascii="Tahoma" w:eastAsia="Times New Roman" w:hAnsi="Tahoma" w:cs="Tahoma"/>
      <w:sz w:val="16"/>
      <w:szCs w:val="16"/>
    </w:rPr>
  </w:style>
  <w:style w:type="character" w:customStyle="1" w:styleId="NoSpacingChar">
    <w:name w:val="No Spacing Char"/>
    <w:basedOn w:val="DefaultParagraphFont"/>
    <w:link w:val="NoSpacing"/>
    <w:uiPriority w:val="1"/>
    <w:rsid w:val="00883810"/>
  </w:style>
  <w:style w:type="character" w:customStyle="1" w:styleId="DeltaViewInsertion">
    <w:name w:val="DeltaView Insertion"/>
    <w:basedOn w:val="DefaultParagraphFont"/>
    <w:uiPriority w:val="99"/>
    <w:rsid w:val="00057457"/>
    <w:rPr>
      <w:color w:val="0000FF"/>
      <w:spacing w:val="0"/>
      <w:u w:val="single"/>
    </w:rPr>
  </w:style>
  <w:style w:type="character" w:styleId="Hyperlink">
    <w:name w:val="Hyperlink"/>
    <w:basedOn w:val="DefaultParagraphFont"/>
    <w:uiPriority w:val="99"/>
    <w:unhideWhenUsed/>
    <w:rsid w:val="00067231"/>
    <w:rPr>
      <w:color w:val="0000FF"/>
      <w:u w:val="single"/>
    </w:rPr>
  </w:style>
  <w:style w:type="table" w:styleId="TableGrid">
    <w:name w:val="Table Grid"/>
    <w:basedOn w:val="TableNormal"/>
    <w:uiPriority w:val="59"/>
    <w:rsid w:val="00FE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
    <w:name w:val="Imported Style 4"/>
    <w:rsid w:val="00DD0E00"/>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3335">
      <w:bodyDiv w:val="1"/>
      <w:marLeft w:val="0"/>
      <w:marRight w:val="0"/>
      <w:marTop w:val="0"/>
      <w:marBottom w:val="0"/>
      <w:divBdr>
        <w:top w:val="none" w:sz="0" w:space="0" w:color="auto"/>
        <w:left w:val="none" w:sz="0" w:space="0" w:color="auto"/>
        <w:bottom w:val="none" w:sz="0" w:space="0" w:color="auto"/>
        <w:right w:val="none" w:sz="0" w:space="0" w:color="auto"/>
      </w:divBdr>
    </w:div>
    <w:div w:id="57094933">
      <w:bodyDiv w:val="1"/>
      <w:marLeft w:val="0"/>
      <w:marRight w:val="0"/>
      <w:marTop w:val="0"/>
      <w:marBottom w:val="0"/>
      <w:divBdr>
        <w:top w:val="none" w:sz="0" w:space="0" w:color="auto"/>
        <w:left w:val="none" w:sz="0" w:space="0" w:color="auto"/>
        <w:bottom w:val="none" w:sz="0" w:space="0" w:color="auto"/>
        <w:right w:val="none" w:sz="0" w:space="0" w:color="auto"/>
      </w:divBdr>
    </w:div>
    <w:div w:id="58748948">
      <w:bodyDiv w:val="1"/>
      <w:marLeft w:val="0"/>
      <w:marRight w:val="0"/>
      <w:marTop w:val="0"/>
      <w:marBottom w:val="0"/>
      <w:divBdr>
        <w:top w:val="none" w:sz="0" w:space="0" w:color="auto"/>
        <w:left w:val="none" w:sz="0" w:space="0" w:color="auto"/>
        <w:bottom w:val="none" w:sz="0" w:space="0" w:color="auto"/>
        <w:right w:val="none" w:sz="0" w:space="0" w:color="auto"/>
      </w:divBdr>
    </w:div>
    <w:div w:id="82144123">
      <w:bodyDiv w:val="1"/>
      <w:marLeft w:val="0"/>
      <w:marRight w:val="0"/>
      <w:marTop w:val="0"/>
      <w:marBottom w:val="0"/>
      <w:divBdr>
        <w:top w:val="none" w:sz="0" w:space="0" w:color="auto"/>
        <w:left w:val="none" w:sz="0" w:space="0" w:color="auto"/>
        <w:bottom w:val="none" w:sz="0" w:space="0" w:color="auto"/>
        <w:right w:val="none" w:sz="0" w:space="0" w:color="auto"/>
      </w:divBdr>
    </w:div>
    <w:div w:id="119567950">
      <w:bodyDiv w:val="1"/>
      <w:marLeft w:val="0"/>
      <w:marRight w:val="0"/>
      <w:marTop w:val="0"/>
      <w:marBottom w:val="0"/>
      <w:divBdr>
        <w:top w:val="none" w:sz="0" w:space="0" w:color="auto"/>
        <w:left w:val="none" w:sz="0" w:space="0" w:color="auto"/>
        <w:bottom w:val="none" w:sz="0" w:space="0" w:color="auto"/>
        <w:right w:val="none" w:sz="0" w:space="0" w:color="auto"/>
      </w:divBdr>
    </w:div>
    <w:div w:id="130369391">
      <w:bodyDiv w:val="1"/>
      <w:marLeft w:val="0"/>
      <w:marRight w:val="0"/>
      <w:marTop w:val="0"/>
      <w:marBottom w:val="0"/>
      <w:divBdr>
        <w:top w:val="none" w:sz="0" w:space="0" w:color="auto"/>
        <w:left w:val="none" w:sz="0" w:space="0" w:color="auto"/>
        <w:bottom w:val="none" w:sz="0" w:space="0" w:color="auto"/>
        <w:right w:val="none" w:sz="0" w:space="0" w:color="auto"/>
      </w:divBdr>
    </w:div>
    <w:div w:id="171115223">
      <w:bodyDiv w:val="1"/>
      <w:marLeft w:val="0"/>
      <w:marRight w:val="0"/>
      <w:marTop w:val="0"/>
      <w:marBottom w:val="0"/>
      <w:divBdr>
        <w:top w:val="none" w:sz="0" w:space="0" w:color="auto"/>
        <w:left w:val="none" w:sz="0" w:space="0" w:color="auto"/>
        <w:bottom w:val="none" w:sz="0" w:space="0" w:color="auto"/>
        <w:right w:val="none" w:sz="0" w:space="0" w:color="auto"/>
      </w:divBdr>
    </w:div>
    <w:div w:id="198050430">
      <w:bodyDiv w:val="1"/>
      <w:marLeft w:val="0"/>
      <w:marRight w:val="0"/>
      <w:marTop w:val="0"/>
      <w:marBottom w:val="0"/>
      <w:divBdr>
        <w:top w:val="none" w:sz="0" w:space="0" w:color="auto"/>
        <w:left w:val="none" w:sz="0" w:space="0" w:color="auto"/>
        <w:bottom w:val="none" w:sz="0" w:space="0" w:color="auto"/>
        <w:right w:val="none" w:sz="0" w:space="0" w:color="auto"/>
      </w:divBdr>
    </w:div>
    <w:div w:id="221908612">
      <w:bodyDiv w:val="1"/>
      <w:marLeft w:val="0"/>
      <w:marRight w:val="0"/>
      <w:marTop w:val="0"/>
      <w:marBottom w:val="0"/>
      <w:divBdr>
        <w:top w:val="none" w:sz="0" w:space="0" w:color="auto"/>
        <w:left w:val="none" w:sz="0" w:space="0" w:color="auto"/>
        <w:bottom w:val="none" w:sz="0" w:space="0" w:color="auto"/>
        <w:right w:val="none" w:sz="0" w:space="0" w:color="auto"/>
      </w:divBdr>
    </w:div>
    <w:div w:id="224686084">
      <w:bodyDiv w:val="1"/>
      <w:marLeft w:val="0"/>
      <w:marRight w:val="0"/>
      <w:marTop w:val="0"/>
      <w:marBottom w:val="0"/>
      <w:divBdr>
        <w:top w:val="none" w:sz="0" w:space="0" w:color="auto"/>
        <w:left w:val="none" w:sz="0" w:space="0" w:color="auto"/>
        <w:bottom w:val="none" w:sz="0" w:space="0" w:color="auto"/>
        <w:right w:val="none" w:sz="0" w:space="0" w:color="auto"/>
      </w:divBdr>
    </w:div>
    <w:div w:id="229116812">
      <w:bodyDiv w:val="1"/>
      <w:marLeft w:val="0"/>
      <w:marRight w:val="0"/>
      <w:marTop w:val="0"/>
      <w:marBottom w:val="0"/>
      <w:divBdr>
        <w:top w:val="none" w:sz="0" w:space="0" w:color="auto"/>
        <w:left w:val="none" w:sz="0" w:space="0" w:color="auto"/>
        <w:bottom w:val="none" w:sz="0" w:space="0" w:color="auto"/>
        <w:right w:val="none" w:sz="0" w:space="0" w:color="auto"/>
      </w:divBdr>
    </w:div>
    <w:div w:id="258488044">
      <w:bodyDiv w:val="1"/>
      <w:marLeft w:val="0"/>
      <w:marRight w:val="0"/>
      <w:marTop w:val="0"/>
      <w:marBottom w:val="0"/>
      <w:divBdr>
        <w:top w:val="none" w:sz="0" w:space="0" w:color="auto"/>
        <w:left w:val="none" w:sz="0" w:space="0" w:color="auto"/>
        <w:bottom w:val="none" w:sz="0" w:space="0" w:color="auto"/>
        <w:right w:val="none" w:sz="0" w:space="0" w:color="auto"/>
      </w:divBdr>
    </w:div>
    <w:div w:id="263461035">
      <w:bodyDiv w:val="1"/>
      <w:marLeft w:val="0"/>
      <w:marRight w:val="0"/>
      <w:marTop w:val="0"/>
      <w:marBottom w:val="0"/>
      <w:divBdr>
        <w:top w:val="none" w:sz="0" w:space="0" w:color="auto"/>
        <w:left w:val="none" w:sz="0" w:space="0" w:color="auto"/>
        <w:bottom w:val="none" w:sz="0" w:space="0" w:color="auto"/>
        <w:right w:val="none" w:sz="0" w:space="0" w:color="auto"/>
      </w:divBdr>
    </w:div>
    <w:div w:id="318583348">
      <w:bodyDiv w:val="1"/>
      <w:marLeft w:val="0"/>
      <w:marRight w:val="0"/>
      <w:marTop w:val="0"/>
      <w:marBottom w:val="0"/>
      <w:divBdr>
        <w:top w:val="none" w:sz="0" w:space="0" w:color="auto"/>
        <w:left w:val="none" w:sz="0" w:space="0" w:color="auto"/>
        <w:bottom w:val="none" w:sz="0" w:space="0" w:color="auto"/>
        <w:right w:val="none" w:sz="0" w:space="0" w:color="auto"/>
      </w:divBdr>
    </w:div>
    <w:div w:id="340275056">
      <w:bodyDiv w:val="1"/>
      <w:marLeft w:val="0"/>
      <w:marRight w:val="0"/>
      <w:marTop w:val="0"/>
      <w:marBottom w:val="0"/>
      <w:divBdr>
        <w:top w:val="none" w:sz="0" w:space="0" w:color="auto"/>
        <w:left w:val="none" w:sz="0" w:space="0" w:color="auto"/>
        <w:bottom w:val="none" w:sz="0" w:space="0" w:color="auto"/>
        <w:right w:val="none" w:sz="0" w:space="0" w:color="auto"/>
      </w:divBdr>
    </w:div>
    <w:div w:id="343018832">
      <w:bodyDiv w:val="1"/>
      <w:marLeft w:val="0"/>
      <w:marRight w:val="0"/>
      <w:marTop w:val="0"/>
      <w:marBottom w:val="0"/>
      <w:divBdr>
        <w:top w:val="none" w:sz="0" w:space="0" w:color="auto"/>
        <w:left w:val="none" w:sz="0" w:space="0" w:color="auto"/>
        <w:bottom w:val="none" w:sz="0" w:space="0" w:color="auto"/>
        <w:right w:val="none" w:sz="0" w:space="0" w:color="auto"/>
      </w:divBdr>
    </w:div>
    <w:div w:id="372076689">
      <w:bodyDiv w:val="1"/>
      <w:marLeft w:val="0"/>
      <w:marRight w:val="0"/>
      <w:marTop w:val="0"/>
      <w:marBottom w:val="0"/>
      <w:divBdr>
        <w:top w:val="none" w:sz="0" w:space="0" w:color="auto"/>
        <w:left w:val="none" w:sz="0" w:space="0" w:color="auto"/>
        <w:bottom w:val="none" w:sz="0" w:space="0" w:color="auto"/>
        <w:right w:val="none" w:sz="0" w:space="0" w:color="auto"/>
      </w:divBdr>
    </w:div>
    <w:div w:id="390426969">
      <w:bodyDiv w:val="1"/>
      <w:marLeft w:val="0"/>
      <w:marRight w:val="0"/>
      <w:marTop w:val="0"/>
      <w:marBottom w:val="0"/>
      <w:divBdr>
        <w:top w:val="none" w:sz="0" w:space="0" w:color="auto"/>
        <w:left w:val="none" w:sz="0" w:space="0" w:color="auto"/>
        <w:bottom w:val="none" w:sz="0" w:space="0" w:color="auto"/>
        <w:right w:val="none" w:sz="0" w:space="0" w:color="auto"/>
      </w:divBdr>
    </w:div>
    <w:div w:id="392386137">
      <w:bodyDiv w:val="1"/>
      <w:marLeft w:val="0"/>
      <w:marRight w:val="0"/>
      <w:marTop w:val="0"/>
      <w:marBottom w:val="0"/>
      <w:divBdr>
        <w:top w:val="none" w:sz="0" w:space="0" w:color="auto"/>
        <w:left w:val="none" w:sz="0" w:space="0" w:color="auto"/>
        <w:bottom w:val="none" w:sz="0" w:space="0" w:color="auto"/>
        <w:right w:val="none" w:sz="0" w:space="0" w:color="auto"/>
      </w:divBdr>
    </w:div>
    <w:div w:id="418868428">
      <w:bodyDiv w:val="1"/>
      <w:marLeft w:val="0"/>
      <w:marRight w:val="0"/>
      <w:marTop w:val="0"/>
      <w:marBottom w:val="0"/>
      <w:divBdr>
        <w:top w:val="none" w:sz="0" w:space="0" w:color="auto"/>
        <w:left w:val="none" w:sz="0" w:space="0" w:color="auto"/>
        <w:bottom w:val="none" w:sz="0" w:space="0" w:color="auto"/>
        <w:right w:val="none" w:sz="0" w:space="0" w:color="auto"/>
      </w:divBdr>
    </w:div>
    <w:div w:id="433718000">
      <w:bodyDiv w:val="1"/>
      <w:marLeft w:val="0"/>
      <w:marRight w:val="0"/>
      <w:marTop w:val="0"/>
      <w:marBottom w:val="0"/>
      <w:divBdr>
        <w:top w:val="none" w:sz="0" w:space="0" w:color="auto"/>
        <w:left w:val="none" w:sz="0" w:space="0" w:color="auto"/>
        <w:bottom w:val="none" w:sz="0" w:space="0" w:color="auto"/>
        <w:right w:val="none" w:sz="0" w:space="0" w:color="auto"/>
      </w:divBdr>
    </w:div>
    <w:div w:id="531722637">
      <w:bodyDiv w:val="1"/>
      <w:marLeft w:val="0"/>
      <w:marRight w:val="0"/>
      <w:marTop w:val="0"/>
      <w:marBottom w:val="0"/>
      <w:divBdr>
        <w:top w:val="none" w:sz="0" w:space="0" w:color="auto"/>
        <w:left w:val="none" w:sz="0" w:space="0" w:color="auto"/>
        <w:bottom w:val="none" w:sz="0" w:space="0" w:color="auto"/>
        <w:right w:val="none" w:sz="0" w:space="0" w:color="auto"/>
      </w:divBdr>
    </w:div>
    <w:div w:id="550116015">
      <w:bodyDiv w:val="1"/>
      <w:marLeft w:val="0"/>
      <w:marRight w:val="0"/>
      <w:marTop w:val="0"/>
      <w:marBottom w:val="0"/>
      <w:divBdr>
        <w:top w:val="none" w:sz="0" w:space="0" w:color="auto"/>
        <w:left w:val="none" w:sz="0" w:space="0" w:color="auto"/>
        <w:bottom w:val="none" w:sz="0" w:space="0" w:color="auto"/>
        <w:right w:val="none" w:sz="0" w:space="0" w:color="auto"/>
      </w:divBdr>
    </w:div>
    <w:div w:id="562183927">
      <w:bodyDiv w:val="1"/>
      <w:marLeft w:val="0"/>
      <w:marRight w:val="0"/>
      <w:marTop w:val="0"/>
      <w:marBottom w:val="0"/>
      <w:divBdr>
        <w:top w:val="none" w:sz="0" w:space="0" w:color="auto"/>
        <w:left w:val="none" w:sz="0" w:space="0" w:color="auto"/>
        <w:bottom w:val="none" w:sz="0" w:space="0" w:color="auto"/>
        <w:right w:val="none" w:sz="0" w:space="0" w:color="auto"/>
      </w:divBdr>
    </w:div>
    <w:div w:id="616254325">
      <w:bodyDiv w:val="1"/>
      <w:marLeft w:val="0"/>
      <w:marRight w:val="0"/>
      <w:marTop w:val="0"/>
      <w:marBottom w:val="0"/>
      <w:divBdr>
        <w:top w:val="none" w:sz="0" w:space="0" w:color="auto"/>
        <w:left w:val="none" w:sz="0" w:space="0" w:color="auto"/>
        <w:bottom w:val="none" w:sz="0" w:space="0" w:color="auto"/>
        <w:right w:val="none" w:sz="0" w:space="0" w:color="auto"/>
      </w:divBdr>
    </w:div>
    <w:div w:id="621771758">
      <w:bodyDiv w:val="1"/>
      <w:marLeft w:val="0"/>
      <w:marRight w:val="0"/>
      <w:marTop w:val="0"/>
      <w:marBottom w:val="0"/>
      <w:divBdr>
        <w:top w:val="none" w:sz="0" w:space="0" w:color="auto"/>
        <w:left w:val="none" w:sz="0" w:space="0" w:color="auto"/>
        <w:bottom w:val="none" w:sz="0" w:space="0" w:color="auto"/>
        <w:right w:val="none" w:sz="0" w:space="0" w:color="auto"/>
      </w:divBdr>
    </w:div>
    <w:div w:id="650017307">
      <w:bodyDiv w:val="1"/>
      <w:marLeft w:val="0"/>
      <w:marRight w:val="0"/>
      <w:marTop w:val="0"/>
      <w:marBottom w:val="0"/>
      <w:divBdr>
        <w:top w:val="none" w:sz="0" w:space="0" w:color="auto"/>
        <w:left w:val="none" w:sz="0" w:space="0" w:color="auto"/>
        <w:bottom w:val="none" w:sz="0" w:space="0" w:color="auto"/>
        <w:right w:val="none" w:sz="0" w:space="0" w:color="auto"/>
      </w:divBdr>
    </w:div>
    <w:div w:id="654605232">
      <w:bodyDiv w:val="1"/>
      <w:marLeft w:val="0"/>
      <w:marRight w:val="0"/>
      <w:marTop w:val="0"/>
      <w:marBottom w:val="0"/>
      <w:divBdr>
        <w:top w:val="none" w:sz="0" w:space="0" w:color="auto"/>
        <w:left w:val="none" w:sz="0" w:space="0" w:color="auto"/>
        <w:bottom w:val="none" w:sz="0" w:space="0" w:color="auto"/>
        <w:right w:val="none" w:sz="0" w:space="0" w:color="auto"/>
      </w:divBdr>
    </w:div>
    <w:div w:id="655033681">
      <w:bodyDiv w:val="1"/>
      <w:marLeft w:val="0"/>
      <w:marRight w:val="0"/>
      <w:marTop w:val="0"/>
      <w:marBottom w:val="0"/>
      <w:divBdr>
        <w:top w:val="none" w:sz="0" w:space="0" w:color="auto"/>
        <w:left w:val="none" w:sz="0" w:space="0" w:color="auto"/>
        <w:bottom w:val="none" w:sz="0" w:space="0" w:color="auto"/>
        <w:right w:val="none" w:sz="0" w:space="0" w:color="auto"/>
      </w:divBdr>
    </w:div>
    <w:div w:id="660937265">
      <w:bodyDiv w:val="1"/>
      <w:marLeft w:val="0"/>
      <w:marRight w:val="0"/>
      <w:marTop w:val="0"/>
      <w:marBottom w:val="0"/>
      <w:divBdr>
        <w:top w:val="none" w:sz="0" w:space="0" w:color="auto"/>
        <w:left w:val="none" w:sz="0" w:space="0" w:color="auto"/>
        <w:bottom w:val="none" w:sz="0" w:space="0" w:color="auto"/>
        <w:right w:val="none" w:sz="0" w:space="0" w:color="auto"/>
      </w:divBdr>
    </w:div>
    <w:div w:id="691303657">
      <w:bodyDiv w:val="1"/>
      <w:marLeft w:val="0"/>
      <w:marRight w:val="0"/>
      <w:marTop w:val="0"/>
      <w:marBottom w:val="0"/>
      <w:divBdr>
        <w:top w:val="none" w:sz="0" w:space="0" w:color="auto"/>
        <w:left w:val="none" w:sz="0" w:space="0" w:color="auto"/>
        <w:bottom w:val="none" w:sz="0" w:space="0" w:color="auto"/>
        <w:right w:val="none" w:sz="0" w:space="0" w:color="auto"/>
      </w:divBdr>
    </w:div>
    <w:div w:id="701398205">
      <w:bodyDiv w:val="1"/>
      <w:marLeft w:val="0"/>
      <w:marRight w:val="0"/>
      <w:marTop w:val="0"/>
      <w:marBottom w:val="0"/>
      <w:divBdr>
        <w:top w:val="none" w:sz="0" w:space="0" w:color="auto"/>
        <w:left w:val="none" w:sz="0" w:space="0" w:color="auto"/>
        <w:bottom w:val="none" w:sz="0" w:space="0" w:color="auto"/>
        <w:right w:val="none" w:sz="0" w:space="0" w:color="auto"/>
      </w:divBdr>
    </w:div>
    <w:div w:id="738671262">
      <w:bodyDiv w:val="1"/>
      <w:marLeft w:val="0"/>
      <w:marRight w:val="0"/>
      <w:marTop w:val="0"/>
      <w:marBottom w:val="0"/>
      <w:divBdr>
        <w:top w:val="none" w:sz="0" w:space="0" w:color="auto"/>
        <w:left w:val="none" w:sz="0" w:space="0" w:color="auto"/>
        <w:bottom w:val="none" w:sz="0" w:space="0" w:color="auto"/>
        <w:right w:val="none" w:sz="0" w:space="0" w:color="auto"/>
      </w:divBdr>
    </w:div>
    <w:div w:id="759133645">
      <w:bodyDiv w:val="1"/>
      <w:marLeft w:val="0"/>
      <w:marRight w:val="0"/>
      <w:marTop w:val="0"/>
      <w:marBottom w:val="0"/>
      <w:divBdr>
        <w:top w:val="none" w:sz="0" w:space="0" w:color="auto"/>
        <w:left w:val="none" w:sz="0" w:space="0" w:color="auto"/>
        <w:bottom w:val="none" w:sz="0" w:space="0" w:color="auto"/>
        <w:right w:val="none" w:sz="0" w:space="0" w:color="auto"/>
      </w:divBdr>
    </w:div>
    <w:div w:id="781802255">
      <w:bodyDiv w:val="1"/>
      <w:marLeft w:val="0"/>
      <w:marRight w:val="0"/>
      <w:marTop w:val="0"/>
      <w:marBottom w:val="0"/>
      <w:divBdr>
        <w:top w:val="none" w:sz="0" w:space="0" w:color="auto"/>
        <w:left w:val="none" w:sz="0" w:space="0" w:color="auto"/>
        <w:bottom w:val="none" w:sz="0" w:space="0" w:color="auto"/>
        <w:right w:val="none" w:sz="0" w:space="0" w:color="auto"/>
      </w:divBdr>
    </w:div>
    <w:div w:id="792821691">
      <w:bodyDiv w:val="1"/>
      <w:marLeft w:val="0"/>
      <w:marRight w:val="0"/>
      <w:marTop w:val="0"/>
      <w:marBottom w:val="0"/>
      <w:divBdr>
        <w:top w:val="none" w:sz="0" w:space="0" w:color="auto"/>
        <w:left w:val="none" w:sz="0" w:space="0" w:color="auto"/>
        <w:bottom w:val="none" w:sz="0" w:space="0" w:color="auto"/>
        <w:right w:val="none" w:sz="0" w:space="0" w:color="auto"/>
      </w:divBdr>
    </w:div>
    <w:div w:id="817693357">
      <w:bodyDiv w:val="1"/>
      <w:marLeft w:val="0"/>
      <w:marRight w:val="0"/>
      <w:marTop w:val="0"/>
      <w:marBottom w:val="0"/>
      <w:divBdr>
        <w:top w:val="none" w:sz="0" w:space="0" w:color="auto"/>
        <w:left w:val="none" w:sz="0" w:space="0" w:color="auto"/>
        <w:bottom w:val="none" w:sz="0" w:space="0" w:color="auto"/>
        <w:right w:val="none" w:sz="0" w:space="0" w:color="auto"/>
      </w:divBdr>
    </w:div>
    <w:div w:id="827358379">
      <w:bodyDiv w:val="1"/>
      <w:marLeft w:val="0"/>
      <w:marRight w:val="0"/>
      <w:marTop w:val="0"/>
      <w:marBottom w:val="0"/>
      <w:divBdr>
        <w:top w:val="none" w:sz="0" w:space="0" w:color="auto"/>
        <w:left w:val="none" w:sz="0" w:space="0" w:color="auto"/>
        <w:bottom w:val="none" w:sz="0" w:space="0" w:color="auto"/>
        <w:right w:val="none" w:sz="0" w:space="0" w:color="auto"/>
      </w:divBdr>
    </w:div>
    <w:div w:id="848373054">
      <w:bodyDiv w:val="1"/>
      <w:marLeft w:val="0"/>
      <w:marRight w:val="0"/>
      <w:marTop w:val="0"/>
      <w:marBottom w:val="0"/>
      <w:divBdr>
        <w:top w:val="none" w:sz="0" w:space="0" w:color="auto"/>
        <w:left w:val="none" w:sz="0" w:space="0" w:color="auto"/>
        <w:bottom w:val="none" w:sz="0" w:space="0" w:color="auto"/>
        <w:right w:val="none" w:sz="0" w:space="0" w:color="auto"/>
      </w:divBdr>
    </w:div>
    <w:div w:id="850217773">
      <w:bodyDiv w:val="1"/>
      <w:marLeft w:val="0"/>
      <w:marRight w:val="0"/>
      <w:marTop w:val="0"/>
      <w:marBottom w:val="0"/>
      <w:divBdr>
        <w:top w:val="none" w:sz="0" w:space="0" w:color="auto"/>
        <w:left w:val="none" w:sz="0" w:space="0" w:color="auto"/>
        <w:bottom w:val="none" w:sz="0" w:space="0" w:color="auto"/>
        <w:right w:val="none" w:sz="0" w:space="0" w:color="auto"/>
      </w:divBdr>
    </w:div>
    <w:div w:id="856700424">
      <w:bodyDiv w:val="1"/>
      <w:marLeft w:val="0"/>
      <w:marRight w:val="0"/>
      <w:marTop w:val="0"/>
      <w:marBottom w:val="0"/>
      <w:divBdr>
        <w:top w:val="none" w:sz="0" w:space="0" w:color="auto"/>
        <w:left w:val="none" w:sz="0" w:space="0" w:color="auto"/>
        <w:bottom w:val="none" w:sz="0" w:space="0" w:color="auto"/>
        <w:right w:val="none" w:sz="0" w:space="0" w:color="auto"/>
      </w:divBdr>
    </w:div>
    <w:div w:id="857280489">
      <w:bodyDiv w:val="1"/>
      <w:marLeft w:val="0"/>
      <w:marRight w:val="0"/>
      <w:marTop w:val="0"/>
      <w:marBottom w:val="0"/>
      <w:divBdr>
        <w:top w:val="none" w:sz="0" w:space="0" w:color="auto"/>
        <w:left w:val="none" w:sz="0" w:space="0" w:color="auto"/>
        <w:bottom w:val="none" w:sz="0" w:space="0" w:color="auto"/>
        <w:right w:val="none" w:sz="0" w:space="0" w:color="auto"/>
      </w:divBdr>
    </w:div>
    <w:div w:id="877200688">
      <w:bodyDiv w:val="1"/>
      <w:marLeft w:val="0"/>
      <w:marRight w:val="0"/>
      <w:marTop w:val="0"/>
      <w:marBottom w:val="0"/>
      <w:divBdr>
        <w:top w:val="none" w:sz="0" w:space="0" w:color="auto"/>
        <w:left w:val="none" w:sz="0" w:space="0" w:color="auto"/>
        <w:bottom w:val="none" w:sz="0" w:space="0" w:color="auto"/>
        <w:right w:val="none" w:sz="0" w:space="0" w:color="auto"/>
      </w:divBdr>
    </w:div>
    <w:div w:id="892036927">
      <w:bodyDiv w:val="1"/>
      <w:marLeft w:val="0"/>
      <w:marRight w:val="0"/>
      <w:marTop w:val="0"/>
      <w:marBottom w:val="0"/>
      <w:divBdr>
        <w:top w:val="none" w:sz="0" w:space="0" w:color="auto"/>
        <w:left w:val="none" w:sz="0" w:space="0" w:color="auto"/>
        <w:bottom w:val="none" w:sz="0" w:space="0" w:color="auto"/>
        <w:right w:val="none" w:sz="0" w:space="0" w:color="auto"/>
      </w:divBdr>
    </w:div>
    <w:div w:id="918369634">
      <w:bodyDiv w:val="1"/>
      <w:marLeft w:val="0"/>
      <w:marRight w:val="0"/>
      <w:marTop w:val="0"/>
      <w:marBottom w:val="0"/>
      <w:divBdr>
        <w:top w:val="none" w:sz="0" w:space="0" w:color="auto"/>
        <w:left w:val="none" w:sz="0" w:space="0" w:color="auto"/>
        <w:bottom w:val="none" w:sz="0" w:space="0" w:color="auto"/>
        <w:right w:val="none" w:sz="0" w:space="0" w:color="auto"/>
      </w:divBdr>
    </w:div>
    <w:div w:id="941497462">
      <w:bodyDiv w:val="1"/>
      <w:marLeft w:val="0"/>
      <w:marRight w:val="0"/>
      <w:marTop w:val="0"/>
      <w:marBottom w:val="0"/>
      <w:divBdr>
        <w:top w:val="none" w:sz="0" w:space="0" w:color="auto"/>
        <w:left w:val="none" w:sz="0" w:space="0" w:color="auto"/>
        <w:bottom w:val="none" w:sz="0" w:space="0" w:color="auto"/>
        <w:right w:val="none" w:sz="0" w:space="0" w:color="auto"/>
      </w:divBdr>
    </w:div>
    <w:div w:id="941571669">
      <w:bodyDiv w:val="1"/>
      <w:marLeft w:val="0"/>
      <w:marRight w:val="0"/>
      <w:marTop w:val="0"/>
      <w:marBottom w:val="0"/>
      <w:divBdr>
        <w:top w:val="none" w:sz="0" w:space="0" w:color="auto"/>
        <w:left w:val="none" w:sz="0" w:space="0" w:color="auto"/>
        <w:bottom w:val="none" w:sz="0" w:space="0" w:color="auto"/>
        <w:right w:val="none" w:sz="0" w:space="0" w:color="auto"/>
      </w:divBdr>
    </w:div>
    <w:div w:id="966276421">
      <w:bodyDiv w:val="1"/>
      <w:marLeft w:val="0"/>
      <w:marRight w:val="0"/>
      <w:marTop w:val="0"/>
      <w:marBottom w:val="0"/>
      <w:divBdr>
        <w:top w:val="none" w:sz="0" w:space="0" w:color="auto"/>
        <w:left w:val="none" w:sz="0" w:space="0" w:color="auto"/>
        <w:bottom w:val="none" w:sz="0" w:space="0" w:color="auto"/>
        <w:right w:val="none" w:sz="0" w:space="0" w:color="auto"/>
      </w:divBdr>
    </w:div>
    <w:div w:id="984549339">
      <w:bodyDiv w:val="1"/>
      <w:marLeft w:val="0"/>
      <w:marRight w:val="0"/>
      <w:marTop w:val="0"/>
      <w:marBottom w:val="0"/>
      <w:divBdr>
        <w:top w:val="none" w:sz="0" w:space="0" w:color="auto"/>
        <w:left w:val="none" w:sz="0" w:space="0" w:color="auto"/>
        <w:bottom w:val="none" w:sz="0" w:space="0" w:color="auto"/>
        <w:right w:val="none" w:sz="0" w:space="0" w:color="auto"/>
      </w:divBdr>
    </w:div>
    <w:div w:id="994844844">
      <w:bodyDiv w:val="1"/>
      <w:marLeft w:val="0"/>
      <w:marRight w:val="0"/>
      <w:marTop w:val="0"/>
      <w:marBottom w:val="0"/>
      <w:divBdr>
        <w:top w:val="none" w:sz="0" w:space="0" w:color="auto"/>
        <w:left w:val="none" w:sz="0" w:space="0" w:color="auto"/>
        <w:bottom w:val="none" w:sz="0" w:space="0" w:color="auto"/>
        <w:right w:val="none" w:sz="0" w:space="0" w:color="auto"/>
      </w:divBdr>
    </w:div>
    <w:div w:id="998381666">
      <w:bodyDiv w:val="1"/>
      <w:marLeft w:val="0"/>
      <w:marRight w:val="0"/>
      <w:marTop w:val="0"/>
      <w:marBottom w:val="0"/>
      <w:divBdr>
        <w:top w:val="none" w:sz="0" w:space="0" w:color="auto"/>
        <w:left w:val="none" w:sz="0" w:space="0" w:color="auto"/>
        <w:bottom w:val="none" w:sz="0" w:space="0" w:color="auto"/>
        <w:right w:val="none" w:sz="0" w:space="0" w:color="auto"/>
      </w:divBdr>
    </w:div>
    <w:div w:id="1012679376">
      <w:bodyDiv w:val="1"/>
      <w:marLeft w:val="0"/>
      <w:marRight w:val="0"/>
      <w:marTop w:val="0"/>
      <w:marBottom w:val="0"/>
      <w:divBdr>
        <w:top w:val="none" w:sz="0" w:space="0" w:color="auto"/>
        <w:left w:val="none" w:sz="0" w:space="0" w:color="auto"/>
        <w:bottom w:val="none" w:sz="0" w:space="0" w:color="auto"/>
        <w:right w:val="none" w:sz="0" w:space="0" w:color="auto"/>
      </w:divBdr>
    </w:div>
    <w:div w:id="1016687708">
      <w:bodyDiv w:val="1"/>
      <w:marLeft w:val="0"/>
      <w:marRight w:val="0"/>
      <w:marTop w:val="0"/>
      <w:marBottom w:val="0"/>
      <w:divBdr>
        <w:top w:val="none" w:sz="0" w:space="0" w:color="auto"/>
        <w:left w:val="none" w:sz="0" w:space="0" w:color="auto"/>
        <w:bottom w:val="none" w:sz="0" w:space="0" w:color="auto"/>
        <w:right w:val="none" w:sz="0" w:space="0" w:color="auto"/>
      </w:divBdr>
    </w:div>
    <w:div w:id="1106272249">
      <w:bodyDiv w:val="1"/>
      <w:marLeft w:val="0"/>
      <w:marRight w:val="0"/>
      <w:marTop w:val="0"/>
      <w:marBottom w:val="0"/>
      <w:divBdr>
        <w:top w:val="none" w:sz="0" w:space="0" w:color="auto"/>
        <w:left w:val="none" w:sz="0" w:space="0" w:color="auto"/>
        <w:bottom w:val="none" w:sz="0" w:space="0" w:color="auto"/>
        <w:right w:val="none" w:sz="0" w:space="0" w:color="auto"/>
      </w:divBdr>
    </w:div>
    <w:div w:id="1121222526">
      <w:bodyDiv w:val="1"/>
      <w:marLeft w:val="0"/>
      <w:marRight w:val="0"/>
      <w:marTop w:val="0"/>
      <w:marBottom w:val="0"/>
      <w:divBdr>
        <w:top w:val="none" w:sz="0" w:space="0" w:color="auto"/>
        <w:left w:val="none" w:sz="0" w:space="0" w:color="auto"/>
        <w:bottom w:val="none" w:sz="0" w:space="0" w:color="auto"/>
        <w:right w:val="none" w:sz="0" w:space="0" w:color="auto"/>
      </w:divBdr>
    </w:div>
    <w:div w:id="1122848416">
      <w:bodyDiv w:val="1"/>
      <w:marLeft w:val="0"/>
      <w:marRight w:val="0"/>
      <w:marTop w:val="0"/>
      <w:marBottom w:val="0"/>
      <w:divBdr>
        <w:top w:val="none" w:sz="0" w:space="0" w:color="auto"/>
        <w:left w:val="none" w:sz="0" w:space="0" w:color="auto"/>
        <w:bottom w:val="none" w:sz="0" w:space="0" w:color="auto"/>
        <w:right w:val="none" w:sz="0" w:space="0" w:color="auto"/>
      </w:divBdr>
    </w:div>
    <w:div w:id="1128817555">
      <w:bodyDiv w:val="1"/>
      <w:marLeft w:val="0"/>
      <w:marRight w:val="0"/>
      <w:marTop w:val="0"/>
      <w:marBottom w:val="0"/>
      <w:divBdr>
        <w:top w:val="none" w:sz="0" w:space="0" w:color="auto"/>
        <w:left w:val="none" w:sz="0" w:space="0" w:color="auto"/>
        <w:bottom w:val="none" w:sz="0" w:space="0" w:color="auto"/>
        <w:right w:val="none" w:sz="0" w:space="0" w:color="auto"/>
      </w:divBdr>
    </w:div>
    <w:div w:id="1159732463">
      <w:bodyDiv w:val="1"/>
      <w:marLeft w:val="0"/>
      <w:marRight w:val="0"/>
      <w:marTop w:val="0"/>
      <w:marBottom w:val="0"/>
      <w:divBdr>
        <w:top w:val="none" w:sz="0" w:space="0" w:color="auto"/>
        <w:left w:val="none" w:sz="0" w:space="0" w:color="auto"/>
        <w:bottom w:val="none" w:sz="0" w:space="0" w:color="auto"/>
        <w:right w:val="none" w:sz="0" w:space="0" w:color="auto"/>
      </w:divBdr>
    </w:div>
    <w:div w:id="1198278295">
      <w:bodyDiv w:val="1"/>
      <w:marLeft w:val="0"/>
      <w:marRight w:val="0"/>
      <w:marTop w:val="0"/>
      <w:marBottom w:val="0"/>
      <w:divBdr>
        <w:top w:val="none" w:sz="0" w:space="0" w:color="auto"/>
        <w:left w:val="none" w:sz="0" w:space="0" w:color="auto"/>
        <w:bottom w:val="none" w:sz="0" w:space="0" w:color="auto"/>
        <w:right w:val="none" w:sz="0" w:space="0" w:color="auto"/>
      </w:divBdr>
    </w:div>
    <w:div w:id="1202787181">
      <w:bodyDiv w:val="1"/>
      <w:marLeft w:val="0"/>
      <w:marRight w:val="0"/>
      <w:marTop w:val="0"/>
      <w:marBottom w:val="0"/>
      <w:divBdr>
        <w:top w:val="none" w:sz="0" w:space="0" w:color="auto"/>
        <w:left w:val="none" w:sz="0" w:space="0" w:color="auto"/>
        <w:bottom w:val="none" w:sz="0" w:space="0" w:color="auto"/>
        <w:right w:val="none" w:sz="0" w:space="0" w:color="auto"/>
      </w:divBdr>
    </w:div>
    <w:div w:id="1204949853">
      <w:bodyDiv w:val="1"/>
      <w:marLeft w:val="0"/>
      <w:marRight w:val="0"/>
      <w:marTop w:val="0"/>
      <w:marBottom w:val="0"/>
      <w:divBdr>
        <w:top w:val="none" w:sz="0" w:space="0" w:color="auto"/>
        <w:left w:val="none" w:sz="0" w:space="0" w:color="auto"/>
        <w:bottom w:val="none" w:sz="0" w:space="0" w:color="auto"/>
        <w:right w:val="none" w:sz="0" w:space="0" w:color="auto"/>
      </w:divBdr>
    </w:div>
    <w:div w:id="1214584367">
      <w:bodyDiv w:val="1"/>
      <w:marLeft w:val="0"/>
      <w:marRight w:val="0"/>
      <w:marTop w:val="0"/>
      <w:marBottom w:val="0"/>
      <w:divBdr>
        <w:top w:val="none" w:sz="0" w:space="0" w:color="auto"/>
        <w:left w:val="none" w:sz="0" w:space="0" w:color="auto"/>
        <w:bottom w:val="none" w:sz="0" w:space="0" w:color="auto"/>
        <w:right w:val="none" w:sz="0" w:space="0" w:color="auto"/>
      </w:divBdr>
    </w:div>
    <w:div w:id="1217887974">
      <w:bodyDiv w:val="1"/>
      <w:marLeft w:val="0"/>
      <w:marRight w:val="0"/>
      <w:marTop w:val="0"/>
      <w:marBottom w:val="0"/>
      <w:divBdr>
        <w:top w:val="none" w:sz="0" w:space="0" w:color="auto"/>
        <w:left w:val="none" w:sz="0" w:space="0" w:color="auto"/>
        <w:bottom w:val="none" w:sz="0" w:space="0" w:color="auto"/>
        <w:right w:val="none" w:sz="0" w:space="0" w:color="auto"/>
      </w:divBdr>
    </w:div>
    <w:div w:id="1229875578">
      <w:bodyDiv w:val="1"/>
      <w:marLeft w:val="0"/>
      <w:marRight w:val="0"/>
      <w:marTop w:val="0"/>
      <w:marBottom w:val="0"/>
      <w:divBdr>
        <w:top w:val="none" w:sz="0" w:space="0" w:color="auto"/>
        <w:left w:val="none" w:sz="0" w:space="0" w:color="auto"/>
        <w:bottom w:val="none" w:sz="0" w:space="0" w:color="auto"/>
        <w:right w:val="none" w:sz="0" w:space="0" w:color="auto"/>
      </w:divBdr>
    </w:div>
    <w:div w:id="1236352812">
      <w:bodyDiv w:val="1"/>
      <w:marLeft w:val="0"/>
      <w:marRight w:val="0"/>
      <w:marTop w:val="0"/>
      <w:marBottom w:val="0"/>
      <w:divBdr>
        <w:top w:val="none" w:sz="0" w:space="0" w:color="auto"/>
        <w:left w:val="none" w:sz="0" w:space="0" w:color="auto"/>
        <w:bottom w:val="none" w:sz="0" w:space="0" w:color="auto"/>
        <w:right w:val="none" w:sz="0" w:space="0" w:color="auto"/>
      </w:divBdr>
    </w:div>
    <w:div w:id="1237669944">
      <w:bodyDiv w:val="1"/>
      <w:marLeft w:val="0"/>
      <w:marRight w:val="0"/>
      <w:marTop w:val="0"/>
      <w:marBottom w:val="0"/>
      <w:divBdr>
        <w:top w:val="none" w:sz="0" w:space="0" w:color="auto"/>
        <w:left w:val="none" w:sz="0" w:space="0" w:color="auto"/>
        <w:bottom w:val="none" w:sz="0" w:space="0" w:color="auto"/>
        <w:right w:val="none" w:sz="0" w:space="0" w:color="auto"/>
      </w:divBdr>
    </w:div>
    <w:div w:id="1279339029">
      <w:bodyDiv w:val="1"/>
      <w:marLeft w:val="0"/>
      <w:marRight w:val="0"/>
      <w:marTop w:val="0"/>
      <w:marBottom w:val="0"/>
      <w:divBdr>
        <w:top w:val="none" w:sz="0" w:space="0" w:color="auto"/>
        <w:left w:val="none" w:sz="0" w:space="0" w:color="auto"/>
        <w:bottom w:val="none" w:sz="0" w:space="0" w:color="auto"/>
        <w:right w:val="none" w:sz="0" w:space="0" w:color="auto"/>
      </w:divBdr>
    </w:div>
    <w:div w:id="1304774534">
      <w:bodyDiv w:val="1"/>
      <w:marLeft w:val="0"/>
      <w:marRight w:val="0"/>
      <w:marTop w:val="0"/>
      <w:marBottom w:val="0"/>
      <w:divBdr>
        <w:top w:val="none" w:sz="0" w:space="0" w:color="auto"/>
        <w:left w:val="none" w:sz="0" w:space="0" w:color="auto"/>
        <w:bottom w:val="none" w:sz="0" w:space="0" w:color="auto"/>
        <w:right w:val="none" w:sz="0" w:space="0" w:color="auto"/>
      </w:divBdr>
    </w:div>
    <w:div w:id="1355499244">
      <w:bodyDiv w:val="1"/>
      <w:marLeft w:val="0"/>
      <w:marRight w:val="0"/>
      <w:marTop w:val="0"/>
      <w:marBottom w:val="0"/>
      <w:divBdr>
        <w:top w:val="none" w:sz="0" w:space="0" w:color="auto"/>
        <w:left w:val="none" w:sz="0" w:space="0" w:color="auto"/>
        <w:bottom w:val="none" w:sz="0" w:space="0" w:color="auto"/>
        <w:right w:val="none" w:sz="0" w:space="0" w:color="auto"/>
      </w:divBdr>
    </w:div>
    <w:div w:id="1363363043">
      <w:bodyDiv w:val="1"/>
      <w:marLeft w:val="0"/>
      <w:marRight w:val="0"/>
      <w:marTop w:val="0"/>
      <w:marBottom w:val="0"/>
      <w:divBdr>
        <w:top w:val="none" w:sz="0" w:space="0" w:color="auto"/>
        <w:left w:val="none" w:sz="0" w:space="0" w:color="auto"/>
        <w:bottom w:val="none" w:sz="0" w:space="0" w:color="auto"/>
        <w:right w:val="none" w:sz="0" w:space="0" w:color="auto"/>
      </w:divBdr>
    </w:div>
    <w:div w:id="1367483841">
      <w:bodyDiv w:val="1"/>
      <w:marLeft w:val="0"/>
      <w:marRight w:val="0"/>
      <w:marTop w:val="0"/>
      <w:marBottom w:val="0"/>
      <w:divBdr>
        <w:top w:val="none" w:sz="0" w:space="0" w:color="auto"/>
        <w:left w:val="none" w:sz="0" w:space="0" w:color="auto"/>
        <w:bottom w:val="none" w:sz="0" w:space="0" w:color="auto"/>
        <w:right w:val="none" w:sz="0" w:space="0" w:color="auto"/>
      </w:divBdr>
    </w:div>
    <w:div w:id="1431661323">
      <w:bodyDiv w:val="1"/>
      <w:marLeft w:val="0"/>
      <w:marRight w:val="0"/>
      <w:marTop w:val="0"/>
      <w:marBottom w:val="0"/>
      <w:divBdr>
        <w:top w:val="none" w:sz="0" w:space="0" w:color="auto"/>
        <w:left w:val="none" w:sz="0" w:space="0" w:color="auto"/>
        <w:bottom w:val="none" w:sz="0" w:space="0" w:color="auto"/>
        <w:right w:val="none" w:sz="0" w:space="0" w:color="auto"/>
      </w:divBdr>
    </w:div>
    <w:div w:id="1440638750">
      <w:bodyDiv w:val="1"/>
      <w:marLeft w:val="0"/>
      <w:marRight w:val="0"/>
      <w:marTop w:val="0"/>
      <w:marBottom w:val="0"/>
      <w:divBdr>
        <w:top w:val="none" w:sz="0" w:space="0" w:color="auto"/>
        <w:left w:val="none" w:sz="0" w:space="0" w:color="auto"/>
        <w:bottom w:val="none" w:sz="0" w:space="0" w:color="auto"/>
        <w:right w:val="none" w:sz="0" w:space="0" w:color="auto"/>
      </w:divBdr>
    </w:div>
    <w:div w:id="1480461425">
      <w:bodyDiv w:val="1"/>
      <w:marLeft w:val="0"/>
      <w:marRight w:val="0"/>
      <w:marTop w:val="0"/>
      <w:marBottom w:val="0"/>
      <w:divBdr>
        <w:top w:val="none" w:sz="0" w:space="0" w:color="auto"/>
        <w:left w:val="none" w:sz="0" w:space="0" w:color="auto"/>
        <w:bottom w:val="none" w:sz="0" w:space="0" w:color="auto"/>
        <w:right w:val="none" w:sz="0" w:space="0" w:color="auto"/>
      </w:divBdr>
    </w:div>
    <w:div w:id="1496264375">
      <w:bodyDiv w:val="1"/>
      <w:marLeft w:val="0"/>
      <w:marRight w:val="0"/>
      <w:marTop w:val="0"/>
      <w:marBottom w:val="0"/>
      <w:divBdr>
        <w:top w:val="none" w:sz="0" w:space="0" w:color="auto"/>
        <w:left w:val="none" w:sz="0" w:space="0" w:color="auto"/>
        <w:bottom w:val="none" w:sz="0" w:space="0" w:color="auto"/>
        <w:right w:val="none" w:sz="0" w:space="0" w:color="auto"/>
      </w:divBdr>
    </w:div>
    <w:div w:id="1555895549">
      <w:bodyDiv w:val="1"/>
      <w:marLeft w:val="0"/>
      <w:marRight w:val="0"/>
      <w:marTop w:val="0"/>
      <w:marBottom w:val="0"/>
      <w:divBdr>
        <w:top w:val="none" w:sz="0" w:space="0" w:color="auto"/>
        <w:left w:val="none" w:sz="0" w:space="0" w:color="auto"/>
        <w:bottom w:val="none" w:sz="0" w:space="0" w:color="auto"/>
        <w:right w:val="none" w:sz="0" w:space="0" w:color="auto"/>
      </w:divBdr>
    </w:div>
    <w:div w:id="1560743126">
      <w:bodyDiv w:val="1"/>
      <w:marLeft w:val="0"/>
      <w:marRight w:val="0"/>
      <w:marTop w:val="0"/>
      <w:marBottom w:val="0"/>
      <w:divBdr>
        <w:top w:val="none" w:sz="0" w:space="0" w:color="auto"/>
        <w:left w:val="none" w:sz="0" w:space="0" w:color="auto"/>
        <w:bottom w:val="none" w:sz="0" w:space="0" w:color="auto"/>
        <w:right w:val="none" w:sz="0" w:space="0" w:color="auto"/>
      </w:divBdr>
    </w:div>
    <w:div w:id="1566139201">
      <w:bodyDiv w:val="1"/>
      <w:marLeft w:val="0"/>
      <w:marRight w:val="0"/>
      <w:marTop w:val="0"/>
      <w:marBottom w:val="0"/>
      <w:divBdr>
        <w:top w:val="none" w:sz="0" w:space="0" w:color="auto"/>
        <w:left w:val="none" w:sz="0" w:space="0" w:color="auto"/>
        <w:bottom w:val="none" w:sz="0" w:space="0" w:color="auto"/>
        <w:right w:val="none" w:sz="0" w:space="0" w:color="auto"/>
      </w:divBdr>
    </w:div>
    <w:div w:id="1575892890">
      <w:bodyDiv w:val="1"/>
      <w:marLeft w:val="0"/>
      <w:marRight w:val="0"/>
      <w:marTop w:val="0"/>
      <w:marBottom w:val="0"/>
      <w:divBdr>
        <w:top w:val="none" w:sz="0" w:space="0" w:color="auto"/>
        <w:left w:val="none" w:sz="0" w:space="0" w:color="auto"/>
        <w:bottom w:val="none" w:sz="0" w:space="0" w:color="auto"/>
        <w:right w:val="none" w:sz="0" w:space="0" w:color="auto"/>
      </w:divBdr>
    </w:div>
    <w:div w:id="1583755857">
      <w:bodyDiv w:val="1"/>
      <w:marLeft w:val="0"/>
      <w:marRight w:val="0"/>
      <w:marTop w:val="0"/>
      <w:marBottom w:val="0"/>
      <w:divBdr>
        <w:top w:val="none" w:sz="0" w:space="0" w:color="auto"/>
        <w:left w:val="none" w:sz="0" w:space="0" w:color="auto"/>
        <w:bottom w:val="none" w:sz="0" w:space="0" w:color="auto"/>
        <w:right w:val="none" w:sz="0" w:space="0" w:color="auto"/>
      </w:divBdr>
    </w:div>
    <w:div w:id="1591696621">
      <w:bodyDiv w:val="1"/>
      <w:marLeft w:val="0"/>
      <w:marRight w:val="0"/>
      <w:marTop w:val="0"/>
      <w:marBottom w:val="0"/>
      <w:divBdr>
        <w:top w:val="none" w:sz="0" w:space="0" w:color="auto"/>
        <w:left w:val="none" w:sz="0" w:space="0" w:color="auto"/>
        <w:bottom w:val="none" w:sz="0" w:space="0" w:color="auto"/>
        <w:right w:val="none" w:sz="0" w:space="0" w:color="auto"/>
      </w:divBdr>
    </w:div>
    <w:div w:id="1663704506">
      <w:bodyDiv w:val="1"/>
      <w:marLeft w:val="0"/>
      <w:marRight w:val="0"/>
      <w:marTop w:val="0"/>
      <w:marBottom w:val="0"/>
      <w:divBdr>
        <w:top w:val="none" w:sz="0" w:space="0" w:color="auto"/>
        <w:left w:val="none" w:sz="0" w:space="0" w:color="auto"/>
        <w:bottom w:val="none" w:sz="0" w:space="0" w:color="auto"/>
        <w:right w:val="none" w:sz="0" w:space="0" w:color="auto"/>
      </w:divBdr>
    </w:div>
    <w:div w:id="1676345346">
      <w:bodyDiv w:val="1"/>
      <w:marLeft w:val="0"/>
      <w:marRight w:val="0"/>
      <w:marTop w:val="0"/>
      <w:marBottom w:val="0"/>
      <w:divBdr>
        <w:top w:val="none" w:sz="0" w:space="0" w:color="auto"/>
        <w:left w:val="none" w:sz="0" w:space="0" w:color="auto"/>
        <w:bottom w:val="none" w:sz="0" w:space="0" w:color="auto"/>
        <w:right w:val="none" w:sz="0" w:space="0" w:color="auto"/>
      </w:divBdr>
    </w:div>
    <w:div w:id="1710031746">
      <w:bodyDiv w:val="1"/>
      <w:marLeft w:val="0"/>
      <w:marRight w:val="0"/>
      <w:marTop w:val="0"/>
      <w:marBottom w:val="0"/>
      <w:divBdr>
        <w:top w:val="none" w:sz="0" w:space="0" w:color="auto"/>
        <w:left w:val="none" w:sz="0" w:space="0" w:color="auto"/>
        <w:bottom w:val="none" w:sz="0" w:space="0" w:color="auto"/>
        <w:right w:val="none" w:sz="0" w:space="0" w:color="auto"/>
      </w:divBdr>
    </w:div>
    <w:div w:id="1712612310">
      <w:bodyDiv w:val="1"/>
      <w:marLeft w:val="0"/>
      <w:marRight w:val="0"/>
      <w:marTop w:val="0"/>
      <w:marBottom w:val="0"/>
      <w:divBdr>
        <w:top w:val="none" w:sz="0" w:space="0" w:color="auto"/>
        <w:left w:val="none" w:sz="0" w:space="0" w:color="auto"/>
        <w:bottom w:val="none" w:sz="0" w:space="0" w:color="auto"/>
        <w:right w:val="none" w:sz="0" w:space="0" w:color="auto"/>
      </w:divBdr>
    </w:div>
    <w:div w:id="1718242199">
      <w:bodyDiv w:val="1"/>
      <w:marLeft w:val="0"/>
      <w:marRight w:val="0"/>
      <w:marTop w:val="0"/>
      <w:marBottom w:val="0"/>
      <w:divBdr>
        <w:top w:val="none" w:sz="0" w:space="0" w:color="auto"/>
        <w:left w:val="none" w:sz="0" w:space="0" w:color="auto"/>
        <w:bottom w:val="none" w:sz="0" w:space="0" w:color="auto"/>
        <w:right w:val="none" w:sz="0" w:space="0" w:color="auto"/>
      </w:divBdr>
    </w:div>
    <w:div w:id="1720587027">
      <w:bodyDiv w:val="1"/>
      <w:marLeft w:val="0"/>
      <w:marRight w:val="0"/>
      <w:marTop w:val="0"/>
      <w:marBottom w:val="0"/>
      <w:divBdr>
        <w:top w:val="none" w:sz="0" w:space="0" w:color="auto"/>
        <w:left w:val="none" w:sz="0" w:space="0" w:color="auto"/>
        <w:bottom w:val="none" w:sz="0" w:space="0" w:color="auto"/>
        <w:right w:val="none" w:sz="0" w:space="0" w:color="auto"/>
      </w:divBdr>
    </w:div>
    <w:div w:id="1727029948">
      <w:bodyDiv w:val="1"/>
      <w:marLeft w:val="0"/>
      <w:marRight w:val="0"/>
      <w:marTop w:val="0"/>
      <w:marBottom w:val="0"/>
      <w:divBdr>
        <w:top w:val="none" w:sz="0" w:space="0" w:color="auto"/>
        <w:left w:val="none" w:sz="0" w:space="0" w:color="auto"/>
        <w:bottom w:val="none" w:sz="0" w:space="0" w:color="auto"/>
        <w:right w:val="none" w:sz="0" w:space="0" w:color="auto"/>
      </w:divBdr>
    </w:div>
    <w:div w:id="1736735242">
      <w:bodyDiv w:val="1"/>
      <w:marLeft w:val="0"/>
      <w:marRight w:val="0"/>
      <w:marTop w:val="0"/>
      <w:marBottom w:val="0"/>
      <w:divBdr>
        <w:top w:val="none" w:sz="0" w:space="0" w:color="auto"/>
        <w:left w:val="none" w:sz="0" w:space="0" w:color="auto"/>
        <w:bottom w:val="none" w:sz="0" w:space="0" w:color="auto"/>
        <w:right w:val="none" w:sz="0" w:space="0" w:color="auto"/>
      </w:divBdr>
    </w:div>
    <w:div w:id="1753313569">
      <w:bodyDiv w:val="1"/>
      <w:marLeft w:val="0"/>
      <w:marRight w:val="0"/>
      <w:marTop w:val="0"/>
      <w:marBottom w:val="0"/>
      <w:divBdr>
        <w:top w:val="none" w:sz="0" w:space="0" w:color="auto"/>
        <w:left w:val="none" w:sz="0" w:space="0" w:color="auto"/>
        <w:bottom w:val="none" w:sz="0" w:space="0" w:color="auto"/>
        <w:right w:val="none" w:sz="0" w:space="0" w:color="auto"/>
      </w:divBdr>
    </w:div>
    <w:div w:id="1767074301">
      <w:bodyDiv w:val="1"/>
      <w:marLeft w:val="0"/>
      <w:marRight w:val="0"/>
      <w:marTop w:val="0"/>
      <w:marBottom w:val="0"/>
      <w:divBdr>
        <w:top w:val="none" w:sz="0" w:space="0" w:color="auto"/>
        <w:left w:val="none" w:sz="0" w:space="0" w:color="auto"/>
        <w:bottom w:val="none" w:sz="0" w:space="0" w:color="auto"/>
        <w:right w:val="none" w:sz="0" w:space="0" w:color="auto"/>
      </w:divBdr>
    </w:div>
    <w:div w:id="1924682543">
      <w:bodyDiv w:val="1"/>
      <w:marLeft w:val="0"/>
      <w:marRight w:val="0"/>
      <w:marTop w:val="0"/>
      <w:marBottom w:val="0"/>
      <w:divBdr>
        <w:top w:val="none" w:sz="0" w:space="0" w:color="auto"/>
        <w:left w:val="none" w:sz="0" w:space="0" w:color="auto"/>
        <w:bottom w:val="none" w:sz="0" w:space="0" w:color="auto"/>
        <w:right w:val="none" w:sz="0" w:space="0" w:color="auto"/>
      </w:divBdr>
    </w:div>
    <w:div w:id="1963340308">
      <w:bodyDiv w:val="1"/>
      <w:marLeft w:val="0"/>
      <w:marRight w:val="0"/>
      <w:marTop w:val="0"/>
      <w:marBottom w:val="0"/>
      <w:divBdr>
        <w:top w:val="none" w:sz="0" w:space="0" w:color="auto"/>
        <w:left w:val="none" w:sz="0" w:space="0" w:color="auto"/>
        <w:bottom w:val="none" w:sz="0" w:space="0" w:color="auto"/>
        <w:right w:val="none" w:sz="0" w:space="0" w:color="auto"/>
      </w:divBdr>
    </w:div>
    <w:div w:id="1992294557">
      <w:bodyDiv w:val="1"/>
      <w:marLeft w:val="0"/>
      <w:marRight w:val="0"/>
      <w:marTop w:val="0"/>
      <w:marBottom w:val="0"/>
      <w:divBdr>
        <w:top w:val="none" w:sz="0" w:space="0" w:color="auto"/>
        <w:left w:val="none" w:sz="0" w:space="0" w:color="auto"/>
        <w:bottom w:val="none" w:sz="0" w:space="0" w:color="auto"/>
        <w:right w:val="none" w:sz="0" w:space="0" w:color="auto"/>
      </w:divBdr>
    </w:div>
    <w:div w:id="2051418972">
      <w:bodyDiv w:val="1"/>
      <w:marLeft w:val="0"/>
      <w:marRight w:val="0"/>
      <w:marTop w:val="0"/>
      <w:marBottom w:val="0"/>
      <w:divBdr>
        <w:top w:val="none" w:sz="0" w:space="0" w:color="auto"/>
        <w:left w:val="none" w:sz="0" w:space="0" w:color="auto"/>
        <w:bottom w:val="none" w:sz="0" w:space="0" w:color="auto"/>
        <w:right w:val="none" w:sz="0" w:space="0" w:color="auto"/>
      </w:divBdr>
    </w:div>
    <w:div w:id="212607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4F229-B8BD-4F23-8D21-014FD76E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Houlditch, Dondra</dc:creator>
  <cp:lastModifiedBy>Barlow, Ketcia</cp:lastModifiedBy>
  <cp:revision>13</cp:revision>
  <cp:lastPrinted>2019-05-07T13:53:00Z</cp:lastPrinted>
  <dcterms:created xsi:type="dcterms:W3CDTF">2019-04-22T16:45:00Z</dcterms:created>
  <dcterms:modified xsi:type="dcterms:W3CDTF">2019-05-15T16:10:00Z</dcterms:modified>
</cp:coreProperties>
</file>